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062" w:type="dxa"/>
        <w:tblLook w:val="04A0" w:firstRow="1" w:lastRow="0" w:firstColumn="1" w:lastColumn="0" w:noHBand="0" w:noVBand="1"/>
      </w:tblPr>
      <w:tblGrid>
        <w:gridCol w:w="3157"/>
        <w:gridCol w:w="5905"/>
      </w:tblGrid>
      <w:tr w:rsidR="00465C97" w14:paraId="0C6980EA" w14:textId="77777777" w:rsidTr="3AAC1834">
        <w:trPr>
          <w:trHeight w:val="567"/>
        </w:trPr>
        <w:tc>
          <w:tcPr>
            <w:tcW w:w="9062" w:type="dxa"/>
            <w:gridSpan w:val="2"/>
            <w:shd w:val="clear" w:color="auto" w:fill="C1E4F5" w:themeFill="accent1" w:themeFillTint="33"/>
            <w:vAlign w:val="center"/>
          </w:tcPr>
          <w:p w14:paraId="5D7FD70A" w14:textId="4F6F025E" w:rsidR="00465C97" w:rsidRPr="00465C97" w:rsidRDefault="00465C97" w:rsidP="00465C97">
            <w:pPr>
              <w:jc w:val="center"/>
              <w:rPr>
                <w:b/>
                <w:bCs/>
              </w:rPr>
            </w:pPr>
            <w:r w:rsidRPr="00465C97">
              <w:rPr>
                <w:b/>
                <w:bCs/>
              </w:rPr>
              <w:t>Dotaz</w:t>
            </w:r>
            <w:r w:rsidR="00A92B70">
              <w:rPr>
                <w:b/>
                <w:bCs/>
              </w:rPr>
              <w:t xml:space="preserve"> uchazeče</w:t>
            </w:r>
          </w:p>
        </w:tc>
      </w:tr>
      <w:tr w:rsidR="00465C97" w14:paraId="2213077F" w14:textId="77777777" w:rsidTr="3AAC1834">
        <w:trPr>
          <w:trHeight w:val="3071"/>
        </w:trPr>
        <w:tc>
          <w:tcPr>
            <w:tcW w:w="9062" w:type="dxa"/>
            <w:gridSpan w:val="2"/>
            <w:tcBorders>
              <w:bottom w:val="single" w:sz="4" w:space="0" w:color="auto"/>
            </w:tcBorders>
          </w:tcPr>
          <w:p w14:paraId="0E0F0225" w14:textId="578CF901" w:rsidR="008A0424" w:rsidRPr="00926EA0" w:rsidRDefault="006E0DA2" w:rsidP="15AB2DAA">
            <w:pPr>
              <w:pStyle w:val="NoSpacing"/>
              <w:rPr>
                <w:rFonts w:eastAsia="Aptos" w:cs="Aptos"/>
                <w:b/>
                <w:bCs/>
                <w:color w:val="000000" w:themeColor="text1"/>
              </w:rPr>
            </w:pPr>
            <w:r w:rsidRPr="00926EA0">
              <w:rPr>
                <w:rFonts w:eastAsia="Aptos" w:cs="Aptos"/>
                <w:b/>
                <w:bCs/>
                <w:color w:val="000000" w:themeColor="text1"/>
              </w:rPr>
              <w:t>110</w:t>
            </w:r>
            <w:r w:rsidR="7827A476" w:rsidRPr="00926EA0">
              <w:rPr>
                <w:rFonts w:eastAsia="Aptos" w:cs="Aptos"/>
                <w:b/>
                <w:bCs/>
                <w:color w:val="000000" w:themeColor="text1"/>
              </w:rPr>
              <w:t>.</w:t>
            </w:r>
            <w:r w:rsidR="008F376F" w:rsidRPr="00926EA0">
              <w:rPr>
                <w:rFonts w:cs="Arial"/>
                <w:b/>
                <w:bCs/>
                <w:color w:val="000000"/>
                <w:kern w:val="0"/>
              </w:rPr>
              <w:t xml:space="preserve"> </w:t>
            </w:r>
            <w:r w:rsidR="008F376F" w:rsidRPr="00926EA0">
              <w:rPr>
                <w:rFonts w:eastAsia="Aptos" w:cs="Aptos"/>
                <w:b/>
                <w:bCs/>
                <w:color w:val="000000" w:themeColor="text1"/>
              </w:rPr>
              <w:t xml:space="preserve">PS </w:t>
            </w:r>
            <w:proofErr w:type="gramStart"/>
            <w:r w:rsidR="008F376F" w:rsidRPr="00926EA0">
              <w:rPr>
                <w:rFonts w:eastAsia="Aptos" w:cs="Aptos"/>
                <w:b/>
                <w:bCs/>
                <w:color w:val="000000" w:themeColor="text1"/>
              </w:rPr>
              <w:t>5201A</w:t>
            </w:r>
            <w:proofErr w:type="gramEnd"/>
            <w:r w:rsidR="008F376F" w:rsidRPr="00926EA0">
              <w:rPr>
                <w:rFonts w:eastAsia="Aptos" w:cs="Aptos"/>
                <w:b/>
                <w:bCs/>
                <w:color w:val="000000" w:themeColor="text1"/>
              </w:rPr>
              <w:t xml:space="preserve"> – Regenerační nádrž</w:t>
            </w:r>
          </w:p>
          <w:p w14:paraId="51952063" w14:textId="77777777" w:rsidR="008F376F" w:rsidRPr="00926EA0" w:rsidRDefault="008F376F" w:rsidP="15AB2DAA">
            <w:pPr>
              <w:pStyle w:val="NoSpacing"/>
              <w:rPr>
                <w:rFonts w:eastAsia="Aptos" w:cs="Aptos"/>
                <w:b/>
                <w:bCs/>
                <w:color w:val="000000" w:themeColor="text1"/>
              </w:rPr>
            </w:pPr>
          </w:p>
          <w:p w14:paraId="1862F292" w14:textId="755310C3" w:rsidR="008F376F" w:rsidRPr="00926EA0" w:rsidRDefault="00AF68FB" w:rsidP="15AB2DAA">
            <w:pPr>
              <w:pStyle w:val="NoSpacing"/>
              <w:rPr>
                <w:rFonts w:eastAsia="Aptos" w:cs="Aptos"/>
                <w:b/>
                <w:bCs/>
                <w:color w:val="000000" w:themeColor="text1"/>
              </w:rPr>
            </w:pPr>
            <w:r w:rsidRPr="00926EA0">
              <w:rPr>
                <w:rFonts w:eastAsia="Aptos" w:cs="Aptos"/>
                <w:b/>
                <w:bCs/>
                <w:color w:val="000000" w:themeColor="text1"/>
              </w:rPr>
              <w:t>V technické specifikaci strojů a zařízení je u následujících položek uvedeno:</w:t>
            </w:r>
          </w:p>
          <w:tbl>
            <w:tblPr>
              <w:tblW w:w="8801" w:type="dxa"/>
              <w:tblCellMar>
                <w:left w:w="70" w:type="dxa"/>
                <w:right w:w="70" w:type="dxa"/>
              </w:tblCellMar>
              <w:tblLook w:val="04A0" w:firstRow="1" w:lastRow="0" w:firstColumn="1" w:lastColumn="0" w:noHBand="0" w:noVBand="1"/>
            </w:tblPr>
            <w:tblGrid>
              <w:gridCol w:w="1914"/>
              <w:gridCol w:w="5276"/>
              <w:gridCol w:w="567"/>
              <w:gridCol w:w="155"/>
              <w:gridCol w:w="463"/>
              <w:gridCol w:w="142"/>
              <w:gridCol w:w="284"/>
            </w:tblGrid>
            <w:tr w:rsidR="005F5B0D" w:rsidRPr="008C5D00" w14:paraId="4B5FEA16" w14:textId="77777777" w:rsidTr="004D331C">
              <w:trPr>
                <w:gridAfter w:val="1"/>
                <w:wAfter w:w="284" w:type="dxa"/>
                <w:trHeight w:val="7785"/>
              </w:trPr>
              <w:tc>
                <w:tcPr>
                  <w:tcW w:w="1914" w:type="dxa"/>
                  <w:tcBorders>
                    <w:top w:val="single" w:sz="8" w:space="0" w:color="auto"/>
                    <w:left w:val="single" w:sz="8" w:space="0" w:color="auto"/>
                    <w:bottom w:val="nil"/>
                    <w:right w:val="single" w:sz="8" w:space="0" w:color="auto"/>
                  </w:tcBorders>
                  <w:shd w:val="clear" w:color="auto" w:fill="auto"/>
                  <w:hideMark/>
                </w:tcPr>
                <w:p w14:paraId="2BFD71B5" w14:textId="77777777" w:rsidR="005F5B0D" w:rsidRPr="008C5D00" w:rsidRDefault="005F5B0D" w:rsidP="005F5B0D">
                  <w:pPr>
                    <w:spacing w:after="0" w:line="240" w:lineRule="auto"/>
                    <w:rPr>
                      <w:rFonts w:ascii="Arial" w:eastAsia="Times New Roman" w:hAnsi="Arial" w:cs="Arial"/>
                      <w:sz w:val="20"/>
                      <w:szCs w:val="20"/>
                      <w:lang w:eastAsia="cs-CZ"/>
                    </w:rPr>
                  </w:pPr>
                  <w:proofErr w:type="gramStart"/>
                  <w:r w:rsidRPr="008C5D00">
                    <w:rPr>
                      <w:rFonts w:ascii="Arial" w:eastAsia="Times New Roman" w:hAnsi="Arial" w:cs="Arial"/>
                      <w:lang w:eastAsia="cs-CZ"/>
                    </w:rPr>
                    <w:t>5201A</w:t>
                  </w:r>
                  <w:proofErr w:type="gramEnd"/>
                  <w:r w:rsidRPr="008C5D00">
                    <w:rPr>
                      <w:rFonts w:ascii="Arial" w:eastAsia="Times New Roman" w:hAnsi="Arial" w:cs="Arial"/>
                      <w:lang w:eastAsia="cs-CZ"/>
                    </w:rPr>
                    <w:t>__AA001A-B 5201A__MO001A 5201A__MO001B 5201A__AA002C-D 5201A__MO002C 5201A__MO002D</w:t>
                  </w:r>
                </w:p>
              </w:tc>
              <w:tc>
                <w:tcPr>
                  <w:tcW w:w="5327" w:type="dxa"/>
                  <w:tcBorders>
                    <w:top w:val="single" w:sz="8" w:space="0" w:color="auto"/>
                    <w:left w:val="nil"/>
                    <w:bottom w:val="nil"/>
                    <w:right w:val="single" w:sz="8" w:space="0" w:color="auto"/>
                  </w:tcBorders>
                  <w:shd w:val="clear" w:color="auto" w:fill="auto"/>
                  <w:hideMark/>
                </w:tcPr>
                <w:p w14:paraId="35000180" w14:textId="77777777" w:rsidR="005F5B0D" w:rsidRDefault="005F5B0D" w:rsidP="005F5B0D">
                  <w:pPr>
                    <w:spacing w:after="0" w:line="240" w:lineRule="auto"/>
                    <w:rPr>
                      <w:rFonts w:ascii="Arial" w:eastAsia="Times New Roman" w:hAnsi="Arial" w:cs="Arial"/>
                      <w:lang w:eastAsia="cs-CZ"/>
                    </w:rPr>
                  </w:pPr>
                  <w:r w:rsidRPr="008C5D00">
                    <w:rPr>
                      <w:rFonts w:ascii="Arial" w:eastAsia="Times New Roman" w:hAnsi="Arial" w:cs="Arial"/>
                      <w:b/>
                      <w:bCs/>
                      <w:lang w:eastAsia="cs-CZ"/>
                    </w:rPr>
                    <w:t xml:space="preserve">Ponorný aerátor                                                                            </w:t>
                  </w:r>
                  <w:r w:rsidRPr="008C5D00">
                    <w:rPr>
                      <w:rFonts w:ascii="Arial" w:eastAsia="Times New Roman" w:hAnsi="Arial" w:cs="Arial"/>
                      <w:b/>
                      <w:bCs/>
                      <w:color w:val="FF0000"/>
                      <w:lang w:eastAsia="cs-CZ"/>
                    </w:rPr>
                    <w:t>Požadované parametry pro celou regeneraci</w:t>
                  </w:r>
                  <w:r w:rsidRPr="008C5D00">
                    <w:rPr>
                      <w:rFonts w:ascii="Arial" w:eastAsia="Times New Roman" w:hAnsi="Arial" w:cs="Arial"/>
                      <w:lang w:eastAsia="cs-CZ"/>
                    </w:rPr>
                    <w:t xml:space="preserve">:                                               •    návrhová teplota aerace: 25 °C                                                                •    objem regenerace: 18 557 m3                                                           •    sušina kalu v regeneraci: 7,60 kg/m3                                                •    zásoba kalu v regeneraci: 145 137 kg/d                                                     •    saturační koncentrace kyslíku při návrhové teplotě: 8,25 mg/l        </w:t>
                  </w:r>
                  <w:r>
                    <w:rPr>
                      <w:rFonts w:ascii="Arial" w:eastAsia="Times New Roman" w:hAnsi="Arial" w:cs="Arial"/>
                      <w:lang w:eastAsia="cs-CZ"/>
                    </w:rPr>
                    <w:t xml:space="preserve">                                                                                              </w:t>
                  </w:r>
                  <w:r w:rsidRPr="008C5D00">
                    <w:rPr>
                      <w:rFonts w:ascii="Arial" w:eastAsia="Times New Roman" w:hAnsi="Arial" w:cs="Arial"/>
                      <w:lang w:eastAsia="cs-CZ"/>
                    </w:rPr>
                    <w:t xml:space="preserve"> •    provozní koncentrace </w:t>
                  </w:r>
                  <w:proofErr w:type="spellStart"/>
                  <w:r w:rsidRPr="008C5D00">
                    <w:rPr>
                      <w:rFonts w:ascii="Arial" w:eastAsia="Times New Roman" w:hAnsi="Arial" w:cs="Arial"/>
                      <w:lang w:eastAsia="cs-CZ"/>
                    </w:rPr>
                    <w:t>roz</w:t>
                  </w:r>
                  <w:proofErr w:type="spellEnd"/>
                  <w:r w:rsidRPr="008C5D00">
                    <w:rPr>
                      <w:rFonts w:ascii="Arial" w:eastAsia="Times New Roman" w:hAnsi="Arial" w:cs="Arial"/>
                      <w:lang w:eastAsia="cs-CZ"/>
                    </w:rPr>
                    <w:t xml:space="preserve">. kyslíku: 1,00 mg/l                                        •    součinitel přestupu alfa: 0,50                                                               •    součinitel nerovnoměrnosti pro OC: 1,00                                                   •    standardní </w:t>
                  </w:r>
                  <w:proofErr w:type="spellStart"/>
                  <w:r w:rsidRPr="008C5D00">
                    <w:rPr>
                      <w:rFonts w:ascii="Arial" w:eastAsia="Times New Roman" w:hAnsi="Arial" w:cs="Arial"/>
                      <w:lang w:eastAsia="cs-CZ"/>
                    </w:rPr>
                    <w:t>ox</w:t>
                  </w:r>
                  <w:proofErr w:type="spellEnd"/>
                  <w:r w:rsidRPr="008C5D00">
                    <w:rPr>
                      <w:rFonts w:ascii="Arial" w:eastAsia="Times New Roman" w:hAnsi="Arial" w:cs="Arial"/>
                      <w:lang w:eastAsia="cs-CZ"/>
                    </w:rPr>
                    <w:t>. kapacita Ocst: 12 868 kg/d (536,17 kg/</w:t>
                  </w:r>
                  <w:proofErr w:type="gramStart"/>
                  <w:r w:rsidRPr="008C5D00">
                    <w:rPr>
                      <w:rFonts w:ascii="Arial" w:eastAsia="Times New Roman" w:hAnsi="Arial" w:cs="Arial"/>
                      <w:lang w:eastAsia="cs-CZ"/>
                    </w:rPr>
                    <w:t xml:space="preserve">hod)   </w:t>
                  </w:r>
                  <w:proofErr w:type="gramEnd"/>
                  <w:r w:rsidRPr="008C5D00">
                    <w:rPr>
                      <w:rFonts w:ascii="Arial" w:eastAsia="Times New Roman" w:hAnsi="Arial" w:cs="Arial"/>
                      <w:lang w:eastAsia="cs-CZ"/>
                    </w:rPr>
                    <w:t xml:space="preserve">                           •    hloubka ponoru </w:t>
                  </w:r>
                  <w:proofErr w:type="spellStart"/>
                  <w:r w:rsidRPr="008C5D00">
                    <w:rPr>
                      <w:rFonts w:ascii="Arial" w:eastAsia="Times New Roman" w:hAnsi="Arial" w:cs="Arial"/>
                      <w:lang w:eastAsia="cs-CZ"/>
                    </w:rPr>
                    <w:t>jemnobublinných</w:t>
                  </w:r>
                  <w:proofErr w:type="spellEnd"/>
                  <w:r w:rsidRPr="008C5D00">
                    <w:rPr>
                      <w:rFonts w:ascii="Arial" w:eastAsia="Times New Roman" w:hAnsi="Arial" w:cs="Arial"/>
                      <w:lang w:eastAsia="cs-CZ"/>
                    </w:rPr>
                    <w:t xml:space="preserve"> elementů 11,07 m                                                      •    </w:t>
                  </w:r>
                  <w:proofErr w:type="spellStart"/>
                  <w:r w:rsidRPr="008C5D00">
                    <w:rPr>
                      <w:rFonts w:ascii="Arial" w:eastAsia="Times New Roman" w:hAnsi="Arial" w:cs="Arial"/>
                      <w:lang w:eastAsia="cs-CZ"/>
                    </w:rPr>
                    <w:t>spec</w:t>
                  </w:r>
                  <w:proofErr w:type="spellEnd"/>
                  <w:r w:rsidRPr="008C5D00">
                    <w:rPr>
                      <w:rFonts w:ascii="Arial" w:eastAsia="Times New Roman" w:hAnsi="Arial" w:cs="Arial"/>
                      <w:lang w:eastAsia="cs-CZ"/>
                    </w:rPr>
                    <w:t xml:space="preserve">. využití kyslíku ze </w:t>
                  </w:r>
                  <w:proofErr w:type="spellStart"/>
                  <w:r w:rsidRPr="008C5D00">
                    <w:rPr>
                      <w:rFonts w:ascii="Arial" w:eastAsia="Times New Roman" w:hAnsi="Arial" w:cs="Arial"/>
                      <w:lang w:eastAsia="cs-CZ"/>
                    </w:rPr>
                    <w:t>vz</w:t>
                  </w:r>
                  <w:proofErr w:type="spellEnd"/>
                  <w:r w:rsidRPr="008C5D00">
                    <w:rPr>
                      <w:rFonts w:ascii="Arial" w:eastAsia="Times New Roman" w:hAnsi="Arial" w:cs="Arial"/>
                      <w:lang w:eastAsia="cs-CZ"/>
                    </w:rPr>
                    <w:t xml:space="preserve">. </w:t>
                  </w:r>
                  <w:proofErr w:type="spellStart"/>
                  <w:r w:rsidRPr="008C5D00">
                    <w:rPr>
                      <w:rFonts w:ascii="Arial" w:eastAsia="Times New Roman" w:hAnsi="Arial" w:cs="Arial"/>
                      <w:lang w:eastAsia="cs-CZ"/>
                    </w:rPr>
                    <w:t>Ea</w:t>
                  </w:r>
                  <w:proofErr w:type="spellEnd"/>
                  <w:r w:rsidRPr="008C5D00">
                    <w:rPr>
                      <w:rFonts w:ascii="Arial" w:eastAsia="Times New Roman" w:hAnsi="Arial" w:cs="Arial"/>
                      <w:lang w:eastAsia="cs-CZ"/>
                    </w:rPr>
                    <w:t xml:space="preserve">/Ha: 4,42 %/m                                                    •    využití kyslíku ze </w:t>
                  </w:r>
                  <w:proofErr w:type="spellStart"/>
                  <w:r w:rsidRPr="008C5D00">
                    <w:rPr>
                      <w:rFonts w:ascii="Arial" w:eastAsia="Times New Roman" w:hAnsi="Arial" w:cs="Arial"/>
                      <w:lang w:eastAsia="cs-CZ"/>
                    </w:rPr>
                    <w:t>vz</w:t>
                  </w:r>
                  <w:proofErr w:type="spellEnd"/>
                  <w:r w:rsidRPr="008C5D00">
                    <w:rPr>
                      <w:rFonts w:ascii="Arial" w:eastAsia="Times New Roman" w:hAnsi="Arial" w:cs="Arial"/>
                      <w:lang w:eastAsia="cs-CZ"/>
                    </w:rPr>
                    <w:t xml:space="preserve">. </w:t>
                  </w:r>
                  <w:proofErr w:type="spellStart"/>
                  <w:r w:rsidRPr="008C5D00">
                    <w:rPr>
                      <w:rFonts w:ascii="Arial" w:eastAsia="Times New Roman" w:hAnsi="Arial" w:cs="Arial"/>
                      <w:lang w:eastAsia="cs-CZ"/>
                    </w:rPr>
                    <w:t>Ea</w:t>
                  </w:r>
                  <w:proofErr w:type="spellEnd"/>
                  <w:r w:rsidRPr="008C5D00">
                    <w:rPr>
                      <w:rFonts w:ascii="Arial" w:eastAsia="Times New Roman" w:hAnsi="Arial" w:cs="Arial"/>
                      <w:lang w:eastAsia="cs-CZ"/>
                    </w:rPr>
                    <w:t xml:space="preserve"> 48,62 %                                                            •    </w:t>
                  </w:r>
                  <w:r w:rsidRPr="008C5D00">
                    <w:rPr>
                      <w:rFonts w:ascii="Arial" w:eastAsia="Times New Roman" w:hAnsi="Arial" w:cs="Arial"/>
                      <w:b/>
                      <w:bCs/>
                      <w:color w:val="FF0000"/>
                      <w:lang w:eastAsia="cs-CZ"/>
                    </w:rPr>
                    <w:t>potřebné množství vzduchu 3 938 m3/hod</w:t>
                  </w:r>
                  <w:r w:rsidRPr="008C5D00">
                    <w:rPr>
                      <w:rFonts w:ascii="Arial" w:eastAsia="Times New Roman" w:hAnsi="Arial" w:cs="Arial"/>
                      <w:color w:val="FF0000"/>
                      <w:lang w:eastAsia="cs-CZ"/>
                    </w:rPr>
                    <w:t xml:space="preserve">   </w:t>
                  </w:r>
                </w:p>
                <w:p w14:paraId="5C464FAF" w14:textId="77777777" w:rsidR="005F5B0D" w:rsidRDefault="005F5B0D" w:rsidP="005F5B0D">
                  <w:pPr>
                    <w:spacing w:after="0" w:line="240" w:lineRule="auto"/>
                    <w:rPr>
                      <w:rFonts w:ascii="Arial" w:eastAsia="Times New Roman" w:hAnsi="Arial" w:cs="Arial"/>
                      <w:lang w:eastAsia="cs-CZ"/>
                    </w:rPr>
                  </w:pPr>
                </w:p>
                <w:p w14:paraId="106BD1A8" w14:textId="77777777" w:rsidR="005F5B0D" w:rsidRPr="008C5D00" w:rsidRDefault="005F5B0D" w:rsidP="005F5B0D">
                  <w:pPr>
                    <w:spacing w:after="0" w:line="240" w:lineRule="auto"/>
                    <w:rPr>
                      <w:rFonts w:ascii="Arial" w:eastAsia="Times New Roman" w:hAnsi="Arial" w:cs="Arial"/>
                      <w:lang w:eastAsia="cs-CZ"/>
                    </w:rPr>
                  </w:pPr>
                  <w:r w:rsidRPr="008C5D00">
                    <w:rPr>
                      <w:rFonts w:ascii="Arial" w:eastAsia="Times New Roman" w:hAnsi="Arial" w:cs="Arial"/>
                      <w:lang w:eastAsia="cs-CZ"/>
                    </w:rPr>
                    <w:t xml:space="preserve"> Parametry </w:t>
                  </w:r>
                  <w:proofErr w:type="gramStart"/>
                  <w:r w:rsidRPr="008C5D00">
                    <w:rPr>
                      <w:rFonts w:ascii="Arial" w:eastAsia="Times New Roman" w:hAnsi="Arial" w:cs="Arial"/>
                      <w:lang w:eastAsia="cs-CZ"/>
                    </w:rPr>
                    <w:t xml:space="preserve">aerátoru:   </w:t>
                  </w:r>
                  <w:proofErr w:type="gramEnd"/>
                  <w:r w:rsidRPr="008C5D00">
                    <w:rPr>
                      <w:rFonts w:ascii="Arial" w:eastAsia="Times New Roman" w:hAnsi="Arial" w:cs="Arial"/>
                      <w:lang w:eastAsia="cs-CZ"/>
                    </w:rPr>
                    <w:t xml:space="preserve">                                                                              •    Výkon: max 18,5 kW                                                                            •    Napětí: 400 V                                                                                   •    Frekvence: 50 Hz                                                                                •    Jmenovité otáčky motoru: cca 1455 </w:t>
                  </w:r>
                  <w:proofErr w:type="spellStart"/>
                  <w:r w:rsidRPr="008C5D00">
                    <w:rPr>
                      <w:rFonts w:ascii="Arial" w:eastAsia="Times New Roman" w:hAnsi="Arial" w:cs="Arial"/>
                      <w:lang w:eastAsia="cs-CZ"/>
                    </w:rPr>
                    <w:t>ot</w:t>
                  </w:r>
                  <w:proofErr w:type="spellEnd"/>
                  <w:r w:rsidRPr="008C5D00">
                    <w:rPr>
                      <w:rFonts w:ascii="Arial" w:eastAsia="Times New Roman" w:hAnsi="Arial" w:cs="Arial"/>
                      <w:lang w:eastAsia="cs-CZ"/>
                    </w:rPr>
                    <w:t xml:space="preserve">/min.                                                   •    Jmenovité otáčky aerátoru: cca 102 </w:t>
                  </w:r>
                  <w:proofErr w:type="spellStart"/>
                  <w:r w:rsidRPr="008C5D00">
                    <w:rPr>
                      <w:rFonts w:ascii="Arial" w:eastAsia="Times New Roman" w:hAnsi="Arial" w:cs="Arial"/>
                      <w:lang w:eastAsia="cs-CZ"/>
                    </w:rPr>
                    <w:t>ot</w:t>
                  </w:r>
                  <w:proofErr w:type="spellEnd"/>
                  <w:r w:rsidRPr="008C5D00">
                    <w:rPr>
                      <w:rFonts w:ascii="Arial" w:eastAsia="Times New Roman" w:hAnsi="Arial" w:cs="Arial"/>
                      <w:lang w:eastAsia="cs-CZ"/>
                    </w:rPr>
                    <w:t>/min.                                                     •    teplotní rozsah: -40 - +120 °C                                                             •    Max. hloubka kapaliny: 12 m                                                                    •    Max. průtok vzduchu při max. hloubce kapaliny: 21,8 Sm</w:t>
                  </w:r>
                  <w:r w:rsidRPr="008C5D00">
                    <w:rPr>
                      <w:rFonts w:ascii="Arial" w:eastAsia="Times New Roman" w:hAnsi="Arial" w:cs="Arial"/>
                      <w:vertAlign w:val="superscript"/>
                      <w:lang w:eastAsia="cs-CZ"/>
                    </w:rPr>
                    <w:t>3</w:t>
                  </w:r>
                  <w:r w:rsidRPr="008C5D00">
                    <w:rPr>
                      <w:rFonts w:ascii="Arial" w:eastAsia="Times New Roman" w:hAnsi="Arial" w:cs="Arial"/>
                      <w:lang w:eastAsia="cs-CZ"/>
                    </w:rPr>
                    <w:t xml:space="preserve">/min                                                                                                     •    Max. </w:t>
                  </w:r>
                  <w:proofErr w:type="spellStart"/>
                  <w:r w:rsidRPr="008C5D00">
                    <w:rPr>
                      <w:rFonts w:ascii="Arial" w:eastAsia="Times New Roman" w:hAnsi="Arial" w:cs="Arial"/>
                      <w:lang w:eastAsia="cs-CZ"/>
                    </w:rPr>
                    <w:t>OCst</w:t>
                  </w:r>
                  <w:proofErr w:type="spellEnd"/>
                  <w:r w:rsidRPr="008C5D00">
                    <w:rPr>
                      <w:rFonts w:ascii="Arial" w:eastAsia="Times New Roman" w:hAnsi="Arial" w:cs="Arial"/>
                      <w:lang w:eastAsia="cs-CZ"/>
                    </w:rPr>
                    <w:t xml:space="preserve"> při max. hloubce a průtoku: 140 kgO2/h                                                                    •    Hmotnost: cca 1520 kg                                                                   </w:t>
                  </w:r>
                </w:p>
              </w:tc>
              <w:tc>
                <w:tcPr>
                  <w:tcW w:w="709" w:type="dxa"/>
                  <w:gridSpan w:val="2"/>
                  <w:tcBorders>
                    <w:top w:val="single" w:sz="8" w:space="0" w:color="auto"/>
                    <w:left w:val="nil"/>
                    <w:bottom w:val="nil"/>
                    <w:right w:val="single" w:sz="8" w:space="0" w:color="auto"/>
                  </w:tcBorders>
                  <w:shd w:val="clear" w:color="auto" w:fill="auto"/>
                  <w:noWrap/>
                  <w:hideMark/>
                </w:tcPr>
                <w:p w14:paraId="1356CEC9" w14:textId="77777777" w:rsidR="005F5B0D" w:rsidRPr="008C5D00" w:rsidRDefault="005F5B0D" w:rsidP="005F5B0D">
                  <w:pPr>
                    <w:spacing w:after="0" w:line="240" w:lineRule="auto"/>
                    <w:jc w:val="center"/>
                    <w:rPr>
                      <w:rFonts w:ascii="Arial" w:eastAsia="Times New Roman" w:hAnsi="Arial" w:cs="Arial"/>
                      <w:sz w:val="20"/>
                      <w:szCs w:val="20"/>
                      <w:lang w:eastAsia="cs-CZ"/>
                    </w:rPr>
                  </w:pPr>
                  <w:r w:rsidRPr="008C5D00">
                    <w:rPr>
                      <w:rFonts w:ascii="Arial" w:eastAsia="Times New Roman" w:hAnsi="Arial" w:cs="Arial"/>
                      <w:lang w:eastAsia="cs-CZ"/>
                    </w:rPr>
                    <w:t>sada</w:t>
                  </w:r>
                </w:p>
              </w:tc>
              <w:tc>
                <w:tcPr>
                  <w:tcW w:w="567" w:type="dxa"/>
                  <w:gridSpan w:val="2"/>
                  <w:tcBorders>
                    <w:top w:val="single" w:sz="8" w:space="0" w:color="auto"/>
                    <w:left w:val="nil"/>
                    <w:bottom w:val="nil"/>
                    <w:right w:val="single" w:sz="8" w:space="0" w:color="auto"/>
                  </w:tcBorders>
                  <w:shd w:val="clear" w:color="auto" w:fill="auto"/>
                  <w:noWrap/>
                  <w:hideMark/>
                </w:tcPr>
                <w:p w14:paraId="0447A3B4" w14:textId="77777777" w:rsidR="005F5B0D" w:rsidRPr="008C5D00" w:rsidRDefault="005F5B0D" w:rsidP="005F5B0D">
                  <w:pPr>
                    <w:spacing w:after="0" w:line="240" w:lineRule="auto"/>
                    <w:jc w:val="center"/>
                    <w:rPr>
                      <w:rFonts w:ascii="Arial" w:eastAsia="Times New Roman" w:hAnsi="Arial" w:cs="Arial"/>
                      <w:sz w:val="20"/>
                      <w:szCs w:val="20"/>
                      <w:lang w:eastAsia="cs-CZ"/>
                    </w:rPr>
                  </w:pPr>
                  <w:r w:rsidRPr="008C5D00">
                    <w:rPr>
                      <w:rFonts w:ascii="Arial" w:eastAsia="Times New Roman" w:hAnsi="Arial" w:cs="Arial"/>
                      <w:lang w:eastAsia="cs-CZ"/>
                    </w:rPr>
                    <w:t>4</w:t>
                  </w:r>
                </w:p>
              </w:tc>
            </w:tr>
            <w:tr w:rsidR="006104C0" w:rsidRPr="008C5D00" w14:paraId="30C4061B" w14:textId="77777777" w:rsidTr="004D331C">
              <w:trPr>
                <w:trHeight w:val="7785"/>
              </w:trPr>
              <w:tc>
                <w:tcPr>
                  <w:tcW w:w="1914" w:type="dxa"/>
                  <w:tcBorders>
                    <w:top w:val="single" w:sz="8" w:space="0" w:color="auto"/>
                    <w:left w:val="single" w:sz="8" w:space="0" w:color="auto"/>
                    <w:bottom w:val="nil"/>
                    <w:right w:val="single" w:sz="8" w:space="0" w:color="auto"/>
                  </w:tcBorders>
                  <w:shd w:val="clear" w:color="auto" w:fill="auto"/>
                  <w:hideMark/>
                </w:tcPr>
                <w:p w14:paraId="1376FD34" w14:textId="77777777" w:rsidR="006104C0" w:rsidRPr="008C5D00" w:rsidRDefault="006104C0" w:rsidP="006104C0">
                  <w:pPr>
                    <w:spacing w:after="0" w:line="240" w:lineRule="auto"/>
                    <w:rPr>
                      <w:rFonts w:ascii="Arial" w:eastAsia="Times New Roman" w:hAnsi="Arial" w:cs="Arial"/>
                      <w:sz w:val="20"/>
                      <w:szCs w:val="20"/>
                      <w:lang w:eastAsia="cs-CZ"/>
                    </w:rPr>
                  </w:pPr>
                  <w:proofErr w:type="gramStart"/>
                  <w:r w:rsidRPr="008C5D00">
                    <w:rPr>
                      <w:rFonts w:ascii="Arial" w:eastAsia="Times New Roman" w:hAnsi="Arial" w:cs="Arial"/>
                      <w:lang w:eastAsia="cs-CZ"/>
                    </w:rPr>
                    <w:t>5201A</w:t>
                  </w:r>
                  <w:proofErr w:type="gramEnd"/>
                  <w:r w:rsidRPr="008C5D00">
                    <w:rPr>
                      <w:rFonts w:ascii="Arial" w:eastAsia="Times New Roman" w:hAnsi="Arial" w:cs="Arial"/>
                      <w:lang w:eastAsia="cs-CZ"/>
                    </w:rPr>
                    <w:t>__AA002A-B 5201A__MO002A 5201A__MO002B</w:t>
                  </w:r>
                </w:p>
              </w:tc>
              <w:tc>
                <w:tcPr>
                  <w:tcW w:w="5894" w:type="dxa"/>
                  <w:gridSpan w:val="2"/>
                  <w:tcBorders>
                    <w:top w:val="single" w:sz="8" w:space="0" w:color="auto"/>
                    <w:left w:val="nil"/>
                    <w:bottom w:val="nil"/>
                    <w:right w:val="single" w:sz="8" w:space="0" w:color="auto"/>
                  </w:tcBorders>
                  <w:shd w:val="clear" w:color="auto" w:fill="auto"/>
                  <w:hideMark/>
                </w:tcPr>
                <w:p w14:paraId="56DC6CE9" w14:textId="77777777" w:rsidR="006104C0" w:rsidRDefault="006104C0" w:rsidP="006104C0">
                  <w:pPr>
                    <w:spacing w:after="0" w:line="240" w:lineRule="auto"/>
                    <w:rPr>
                      <w:rFonts w:ascii="Arial" w:eastAsia="Times New Roman" w:hAnsi="Arial" w:cs="Arial"/>
                      <w:lang w:eastAsia="cs-CZ"/>
                    </w:rPr>
                  </w:pPr>
                  <w:r w:rsidRPr="008C5D00">
                    <w:rPr>
                      <w:rFonts w:ascii="Arial" w:eastAsia="Times New Roman" w:hAnsi="Arial" w:cs="Arial"/>
                      <w:b/>
                      <w:bCs/>
                      <w:lang w:eastAsia="cs-CZ"/>
                    </w:rPr>
                    <w:t xml:space="preserve">Ponorný aerátor                                                                            </w:t>
                  </w:r>
                  <w:r w:rsidRPr="008C5D00">
                    <w:rPr>
                      <w:rFonts w:ascii="Arial" w:eastAsia="Times New Roman" w:hAnsi="Arial" w:cs="Arial"/>
                      <w:b/>
                      <w:bCs/>
                      <w:color w:val="FF0000"/>
                      <w:lang w:eastAsia="cs-CZ"/>
                    </w:rPr>
                    <w:t>Požadované parametry pro celou regeneraci</w:t>
                  </w:r>
                  <w:r w:rsidRPr="008C5D00">
                    <w:rPr>
                      <w:rFonts w:ascii="Arial" w:eastAsia="Times New Roman" w:hAnsi="Arial" w:cs="Arial"/>
                      <w:lang w:eastAsia="cs-CZ"/>
                    </w:rPr>
                    <w:t xml:space="preserve">:                                                  •    návrhová teplota aerace: 25 °C                                                                        •    objem regenerace: 18 557 m3                                                                •    sušina kalu v regeneraci: 7,60 kg/m3                                                   •    zásoba kalu v regeneraci: 145 137 kg/d                                                     •    saturační koncentrace kyslíku při návrhové teplotě: 8,25 mg/l                               </w:t>
                  </w:r>
                  <w:r>
                    <w:rPr>
                      <w:rFonts w:ascii="Arial" w:eastAsia="Times New Roman" w:hAnsi="Arial" w:cs="Arial"/>
                      <w:lang w:eastAsia="cs-CZ"/>
                    </w:rPr>
                    <w:t xml:space="preserve">                                                                                    </w:t>
                  </w:r>
                  <w:r w:rsidRPr="008C5D00">
                    <w:rPr>
                      <w:rFonts w:ascii="Arial" w:eastAsia="Times New Roman" w:hAnsi="Arial" w:cs="Arial"/>
                      <w:lang w:eastAsia="cs-CZ"/>
                    </w:rPr>
                    <w:t xml:space="preserve"> •    provozní koncentrace </w:t>
                  </w:r>
                  <w:proofErr w:type="spellStart"/>
                  <w:r w:rsidRPr="008C5D00">
                    <w:rPr>
                      <w:rFonts w:ascii="Arial" w:eastAsia="Times New Roman" w:hAnsi="Arial" w:cs="Arial"/>
                      <w:lang w:eastAsia="cs-CZ"/>
                    </w:rPr>
                    <w:t>roz</w:t>
                  </w:r>
                  <w:proofErr w:type="spellEnd"/>
                  <w:r w:rsidRPr="008C5D00">
                    <w:rPr>
                      <w:rFonts w:ascii="Arial" w:eastAsia="Times New Roman" w:hAnsi="Arial" w:cs="Arial"/>
                      <w:lang w:eastAsia="cs-CZ"/>
                    </w:rPr>
                    <w:t xml:space="preserve">. kyslíku: 1,00 mg/l                                        •    součinitel přestupu alfa: 0,50                                                                •    součinitel nerovnoměrnosti pro OC: 1,00                                                 •    standardní </w:t>
                  </w:r>
                  <w:proofErr w:type="spellStart"/>
                  <w:r w:rsidRPr="008C5D00">
                    <w:rPr>
                      <w:rFonts w:ascii="Arial" w:eastAsia="Times New Roman" w:hAnsi="Arial" w:cs="Arial"/>
                      <w:lang w:eastAsia="cs-CZ"/>
                    </w:rPr>
                    <w:t>ox</w:t>
                  </w:r>
                  <w:proofErr w:type="spellEnd"/>
                  <w:r w:rsidRPr="008C5D00">
                    <w:rPr>
                      <w:rFonts w:ascii="Arial" w:eastAsia="Times New Roman" w:hAnsi="Arial" w:cs="Arial"/>
                      <w:lang w:eastAsia="cs-CZ"/>
                    </w:rPr>
                    <w:t>. kapacita Ocst: 12 868 kg/d (536,17 kg/</w:t>
                  </w:r>
                  <w:proofErr w:type="gramStart"/>
                  <w:r w:rsidRPr="008C5D00">
                    <w:rPr>
                      <w:rFonts w:ascii="Arial" w:eastAsia="Times New Roman" w:hAnsi="Arial" w:cs="Arial"/>
                      <w:lang w:eastAsia="cs-CZ"/>
                    </w:rPr>
                    <w:t xml:space="preserve">hod)   </w:t>
                  </w:r>
                  <w:proofErr w:type="gramEnd"/>
                  <w:r w:rsidRPr="008C5D00">
                    <w:rPr>
                      <w:rFonts w:ascii="Arial" w:eastAsia="Times New Roman" w:hAnsi="Arial" w:cs="Arial"/>
                      <w:lang w:eastAsia="cs-CZ"/>
                    </w:rPr>
                    <w:t xml:space="preserve">                              •    hloubka ponoru </w:t>
                  </w:r>
                  <w:proofErr w:type="spellStart"/>
                  <w:r w:rsidRPr="008C5D00">
                    <w:rPr>
                      <w:rFonts w:ascii="Arial" w:eastAsia="Times New Roman" w:hAnsi="Arial" w:cs="Arial"/>
                      <w:lang w:eastAsia="cs-CZ"/>
                    </w:rPr>
                    <w:t>jemnobublinných</w:t>
                  </w:r>
                  <w:proofErr w:type="spellEnd"/>
                  <w:r w:rsidRPr="008C5D00">
                    <w:rPr>
                      <w:rFonts w:ascii="Arial" w:eastAsia="Times New Roman" w:hAnsi="Arial" w:cs="Arial"/>
                      <w:lang w:eastAsia="cs-CZ"/>
                    </w:rPr>
                    <w:t xml:space="preserve"> elementů 11,07 m                                    •    </w:t>
                  </w:r>
                  <w:proofErr w:type="spellStart"/>
                  <w:r w:rsidRPr="008C5D00">
                    <w:rPr>
                      <w:rFonts w:ascii="Arial" w:eastAsia="Times New Roman" w:hAnsi="Arial" w:cs="Arial"/>
                      <w:lang w:eastAsia="cs-CZ"/>
                    </w:rPr>
                    <w:t>spec</w:t>
                  </w:r>
                  <w:proofErr w:type="spellEnd"/>
                  <w:r w:rsidRPr="008C5D00">
                    <w:rPr>
                      <w:rFonts w:ascii="Arial" w:eastAsia="Times New Roman" w:hAnsi="Arial" w:cs="Arial"/>
                      <w:lang w:eastAsia="cs-CZ"/>
                    </w:rPr>
                    <w:t xml:space="preserve">. využití kyslíku ze </w:t>
                  </w:r>
                  <w:proofErr w:type="spellStart"/>
                  <w:r w:rsidRPr="008C5D00">
                    <w:rPr>
                      <w:rFonts w:ascii="Arial" w:eastAsia="Times New Roman" w:hAnsi="Arial" w:cs="Arial"/>
                      <w:lang w:eastAsia="cs-CZ"/>
                    </w:rPr>
                    <w:t>vz</w:t>
                  </w:r>
                  <w:proofErr w:type="spellEnd"/>
                  <w:r w:rsidRPr="008C5D00">
                    <w:rPr>
                      <w:rFonts w:ascii="Arial" w:eastAsia="Times New Roman" w:hAnsi="Arial" w:cs="Arial"/>
                      <w:lang w:eastAsia="cs-CZ"/>
                    </w:rPr>
                    <w:t xml:space="preserve">. </w:t>
                  </w:r>
                  <w:proofErr w:type="spellStart"/>
                  <w:r w:rsidRPr="008C5D00">
                    <w:rPr>
                      <w:rFonts w:ascii="Arial" w:eastAsia="Times New Roman" w:hAnsi="Arial" w:cs="Arial"/>
                      <w:lang w:eastAsia="cs-CZ"/>
                    </w:rPr>
                    <w:t>Ea</w:t>
                  </w:r>
                  <w:proofErr w:type="spellEnd"/>
                  <w:r w:rsidRPr="008C5D00">
                    <w:rPr>
                      <w:rFonts w:ascii="Arial" w:eastAsia="Times New Roman" w:hAnsi="Arial" w:cs="Arial"/>
                      <w:lang w:eastAsia="cs-CZ"/>
                    </w:rPr>
                    <w:t xml:space="preserve">/Ha: 4,42 %/m                                          •    využití kyslíku ze </w:t>
                  </w:r>
                  <w:proofErr w:type="spellStart"/>
                  <w:r w:rsidRPr="008C5D00">
                    <w:rPr>
                      <w:rFonts w:ascii="Arial" w:eastAsia="Times New Roman" w:hAnsi="Arial" w:cs="Arial"/>
                      <w:lang w:eastAsia="cs-CZ"/>
                    </w:rPr>
                    <w:t>vz</w:t>
                  </w:r>
                  <w:proofErr w:type="spellEnd"/>
                  <w:r w:rsidRPr="008C5D00">
                    <w:rPr>
                      <w:rFonts w:ascii="Arial" w:eastAsia="Times New Roman" w:hAnsi="Arial" w:cs="Arial"/>
                      <w:lang w:eastAsia="cs-CZ"/>
                    </w:rPr>
                    <w:t xml:space="preserve">. </w:t>
                  </w:r>
                  <w:proofErr w:type="spellStart"/>
                  <w:r w:rsidRPr="008C5D00">
                    <w:rPr>
                      <w:rFonts w:ascii="Arial" w:eastAsia="Times New Roman" w:hAnsi="Arial" w:cs="Arial"/>
                      <w:lang w:eastAsia="cs-CZ"/>
                    </w:rPr>
                    <w:t>Ea</w:t>
                  </w:r>
                  <w:proofErr w:type="spellEnd"/>
                  <w:r w:rsidRPr="008C5D00">
                    <w:rPr>
                      <w:rFonts w:ascii="Arial" w:eastAsia="Times New Roman" w:hAnsi="Arial" w:cs="Arial"/>
                      <w:lang w:eastAsia="cs-CZ"/>
                    </w:rPr>
                    <w:t xml:space="preserve"> 48,62 %                                                        •    </w:t>
                  </w:r>
                  <w:r w:rsidRPr="008C5D00">
                    <w:rPr>
                      <w:rFonts w:ascii="Arial" w:eastAsia="Times New Roman" w:hAnsi="Arial" w:cs="Arial"/>
                      <w:b/>
                      <w:bCs/>
                      <w:color w:val="FF0000"/>
                      <w:lang w:eastAsia="cs-CZ"/>
                    </w:rPr>
                    <w:t>potřebné množství vzduchu 3 938 m3/hod</w:t>
                  </w:r>
                  <w:r w:rsidRPr="008C5D00">
                    <w:rPr>
                      <w:rFonts w:ascii="Arial" w:eastAsia="Times New Roman" w:hAnsi="Arial" w:cs="Arial"/>
                      <w:lang w:eastAsia="cs-CZ"/>
                    </w:rPr>
                    <w:t xml:space="preserve">   </w:t>
                  </w:r>
                </w:p>
                <w:p w14:paraId="614B0940" w14:textId="77777777" w:rsidR="006104C0" w:rsidRDefault="006104C0" w:rsidP="006104C0">
                  <w:pPr>
                    <w:spacing w:after="0" w:line="240" w:lineRule="auto"/>
                    <w:rPr>
                      <w:rFonts w:ascii="Arial" w:eastAsia="Times New Roman" w:hAnsi="Arial" w:cs="Arial"/>
                      <w:lang w:eastAsia="cs-CZ"/>
                    </w:rPr>
                  </w:pPr>
                </w:p>
                <w:p w14:paraId="16AEB797" w14:textId="77777777" w:rsidR="006104C0" w:rsidRPr="008C5D00" w:rsidRDefault="006104C0" w:rsidP="006104C0">
                  <w:pPr>
                    <w:spacing w:after="0" w:line="240" w:lineRule="auto"/>
                    <w:rPr>
                      <w:rFonts w:ascii="Arial" w:eastAsia="Times New Roman" w:hAnsi="Arial" w:cs="Arial"/>
                      <w:lang w:eastAsia="cs-CZ"/>
                    </w:rPr>
                  </w:pPr>
                  <w:r w:rsidRPr="008C5D00">
                    <w:rPr>
                      <w:rFonts w:ascii="Arial" w:eastAsia="Times New Roman" w:hAnsi="Arial" w:cs="Arial"/>
                      <w:lang w:eastAsia="cs-CZ"/>
                    </w:rPr>
                    <w:t xml:space="preserve"> Parametry aerátoru:                                                                               •    Výkon: max 25 kW                                                                            •    Napětí: 400 V                                                                                     •    Frekvence: 50 Hz                                                                               •    Jmenovité otáčky motoru: cca 1455 </w:t>
                  </w:r>
                  <w:proofErr w:type="spellStart"/>
                  <w:r w:rsidRPr="008C5D00">
                    <w:rPr>
                      <w:rFonts w:ascii="Arial" w:eastAsia="Times New Roman" w:hAnsi="Arial" w:cs="Arial"/>
                      <w:lang w:eastAsia="cs-CZ"/>
                    </w:rPr>
                    <w:t>ot</w:t>
                  </w:r>
                  <w:proofErr w:type="spellEnd"/>
                  <w:r w:rsidRPr="008C5D00">
                    <w:rPr>
                      <w:rFonts w:ascii="Arial" w:eastAsia="Times New Roman" w:hAnsi="Arial" w:cs="Arial"/>
                      <w:lang w:eastAsia="cs-CZ"/>
                    </w:rPr>
                    <w:t xml:space="preserve">/min.                                                                      •    Jmenovité otáčky aerátoru: cca 111 </w:t>
                  </w:r>
                  <w:proofErr w:type="spellStart"/>
                  <w:r w:rsidRPr="008C5D00">
                    <w:rPr>
                      <w:rFonts w:ascii="Arial" w:eastAsia="Times New Roman" w:hAnsi="Arial" w:cs="Arial"/>
                      <w:lang w:eastAsia="cs-CZ"/>
                    </w:rPr>
                    <w:t>ot</w:t>
                  </w:r>
                  <w:proofErr w:type="spellEnd"/>
                  <w:r w:rsidRPr="008C5D00">
                    <w:rPr>
                      <w:rFonts w:ascii="Arial" w:eastAsia="Times New Roman" w:hAnsi="Arial" w:cs="Arial"/>
                      <w:lang w:eastAsia="cs-CZ"/>
                    </w:rPr>
                    <w:t>/min.                                             •    teplotní rozsah: -40 - +120 °C                                                              •    Max. hloubka kapaliny: 12 m                                                                •    Max. průtok vzduchu při max. hloubce kapaliny: 27,5 Sm</w:t>
                  </w:r>
                  <w:r w:rsidRPr="008C5D00">
                    <w:rPr>
                      <w:rFonts w:ascii="Arial" w:eastAsia="Times New Roman" w:hAnsi="Arial" w:cs="Arial"/>
                      <w:vertAlign w:val="superscript"/>
                      <w:lang w:eastAsia="cs-CZ"/>
                    </w:rPr>
                    <w:t>3</w:t>
                  </w:r>
                  <w:r w:rsidRPr="008C5D00">
                    <w:rPr>
                      <w:rFonts w:ascii="Arial" w:eastAsia="Times New Roman" w:hAnsi="Arial" w:cs="Arial"/>
                      <w:lang w:eastAsia="cs-CZ"/>
                    </w:rPr>
                    <w:t xml:space="preserve">/min                                                                                                 •    Max. </w:t>
                  </w:r>
                  <w:proofErr w:type="spellStart"/>
                  <w:r w:rsidRPr="008C5D00">
                    <w:rPr>
                      <w:rFonts w:ascii="Arial" w:eastAsia="Times New Roman" w:hAnsi="Arial" w:cs="Arial"/>
                      <w:lang w:eastAsia="cs-CZ"/>
                    </w:rPr>
                    <w:t>OCst</w:t>
                  </w:r>
                  <w:proofErr w:type="spellEnd"/>
                  <w:r w:rsidRPr="008C5D00">
                    <w:rPr>
                      <w:rFonts w:ascii="Arial" w:eastAsia="Times New Roman" w:hAnsi="Arial" w:cs="Arial"/>
                      <w:lang w:eastAsia="cs-CZ"/>
                    </w:rPr>
                    <w:t xml:space="preserve"> při max. hloubce a průtoku: 190 kgO2/h                                       •    Hmotnost: cca 1550 kg                                                                   </w:t>
                  </w:r>
                </w:p>
              </w:tc>
              <w:tc>
                <w:tcPr>
                  <w:tcW w:w="567" w:type="dxa"/>
                  <w:gridSpan w:val="2"/>
                  <w:tcBorders>
                    <w:top w:val="single" w:sz="8" w:space="0" w:color="auto"/>
                    <w:left w:val="nil"/>
                    <w:bottom w:val="nil"/>
                    <w:right w:val="single" w:sz="8" w:space="0" w:color="auto"/>
                  </w:tcBorders>
                  <w:shd w:val="clear" w:color="auto" w:fill="auto"/>
                  <w:noWrap/>
                  <w:hideMark/>
                </w:tcPr>
                <w:p w14:paraId="47C5DF71" w14:textId="77777777" w:rsidR="006104C0" w:rsidRPr="008C5D00" w:rsidRDefault="006104C0" w:rsidP="006104C0">
                  <w:pPr>
                    <w:spacing w:after="0" w:line="240" w:lineRule="auto"/>
                    <w:jc w:val="center"/>
                    <w:rPr>
                      <w:rFonts w:ascii="Arial" w:eastAsia="Times New Roman" w:hAnsi="Arial" w:cs="Arial"/>
                      <w:sz w:val="20"/>
                      <w:szCs w:val="20"/>
                      <w:lang w:eastAsia="cs-CZ"/>
                    </w:rPr>
                  </w:pPr>
                  <w:r w:rsidRPr="008C5D00">
                    <w:rPr>
                      <w:rFonts w:ascii="Arial" w:eastAsia="Times New Roman" w:hAnsi="Arial" w:cs="Arial"/>
                      <w:lang w:eastAsia="cs-CZ"/>
                    </w:rPr>
                    <w:t>sada</w:t>
                  </w:r>
                </w:p>
              </w:tc>
              <w:tc>
                <w:tcPr>
                  <w:tcW w:w="426" w:type="dxa"/>
                  <w:gridSpan w:val="2"/>
                  <w:tcBorders>
                    <w:top w:val="single" w:sz="8" w:space="0" w:color="auto"/>
                    <w:left w:val="nil"/>
                    <w:bottom w:val="nil"/>
                    <w:right w:val="single" w:sz="8" w:space="0" w:color="auto"/>
                  </w:tcBorders>
                  <w:shd w:val="clear" w:color="auto" w:fill="auto"/>
                  <w:noWrap/>
                  <w:hideMark/>
                </w:tcPr>
                <w:p w14:paraId="0D19C5C0" w14:textId="77777777" w:rsidR="006104C0" w:rsidRPr="008C5D00" w:rsidRDefault="006104C0" w:rsidP="006104C0">
                  <w:pPr>
                    <w:spacing w:after="0" w:line="240" w:lineRule="auto"/>
                    <w:jc w:val="center"/>
                    <w:rPr>
                      <w:rFonts w:ascii="Arial" w:eastAsia="Times New Roman" w:hAnsi="Arial" w:cs="Arial"/>
                      <w:sz w:val="20"/>
                      <w:szCs w:val="20"/>
                      <w:lang w:eastAsia="cs-CZ"/>
                    </w:rPr>
                  </w:pPr>
                  <w:r w:rsidRPr="008C5D00">
                    <w:rPr>
                      <w:rFonts w:ascii="Arial" w:eastAsia="Times New Roman" w:hAnsi="Arial" w:cs="Arial"/>
                      <w:lang w:eastAsia="cs-CZ"/>
                    </w:rPr>
                    <w:t>2</w:t>
                  </w:r>
                </w:p>
              </w:tc>
            </w:tr>
          </w:tbl>
          <w:p w14:paraId="2ACFD40D" w14:textId="77777777" w:rsidR="00F20D06" w:rsidRDefault="00F20D06" w:rsidP="15AB2DAA">
            <w:pPr>
              <w:pStyle w:val="NoSpacing"/>
              <w:rPr>
                <w:rFonts w:eastAsia="Aptos" w:cs="Aptos"/>
              </w:rPr>
            </w:pPr>
          </w:p>
          <w:p w14:paraId="72357E23" w14:textId="77777777" w:rsidR="004F12A6" w:rsidRDefault="004F12A6" w:rsidP="15AB2DAA">
            <w:pPr>
              <w:pStyle w:val="NoSpacing"/>
              <w:rPr>
                <w:rFonts w:eastAsia="Aptos" w:cs="Aptos"/>
              </w:rPr>
            </w:pPr>
          </w:p>
          <w:p w14:paraId="52A5B622" w14:textId="77777777" w:rsidR="004F12A6" w:rsidRDefault="004F12A6" w:rsidP="15AB2DAA">
            <w:pPr>
              <w:pStyle w:val="NoSpacing"/>
              <w:rPr>
                <w:rFonts w:eastAsia="Aptos" w:cs="Aptos"/>
              </w:rPr>
            </w:pPr>
          </w:p>
          <w:p w14:paraId="221E4108" w14:textId="77777777" w:rsidR="004F12A6" w:rsidRDefault="004F12A6" w:rsidP="15AB2DAA">
            <w:pPr>
              <w:pStyle w:val="NoSpacing"/>
              <w:rPr>
                <w:rFonts w:eastAsia="Aptos" w:cs="Aptos"/>
              </w:rPr>
            </w:pPr>
          </w:p>
          <w:p w14:paraId="21FB0AE2" w14:textId="77777777" w:rsidR="004F12A6" w:rsidRDefault="004F12A6" w:rsidP="15AB2DAA">
            <w:pPr>
              <w:pStyle w:val="NoSpacing"/>
              <w:rPr>
                <w:rFonts w:eastAsia="Aptos" w:cs="Aptos"/>
              </w:rPr>
            </w:pPr>
          </w:p>
          <w:p w14:paraId="60B4338E" w14:textId="77777777" w:rsidR="004F12A6" w:rsidRDefault="004F12A6" w:rsidP="15AB2DAA">
            <w:pPr>
              <w:pStyle w:val="NoSpacing"/>
              <w:rPr>
                <w:rFonts w:eastAsia="Aptos" w:cs="Aptos"/>
              </w:rPr>
            </w:pPr>
          </w:p>
          <w:p w14:paraId="0D4C9B19" w14:textId="77777777" w:rsidR="004F12A6" w:rsidRDefault="004F12A6" w:rsidP="15AB2DAA">
            <w:pPr>
              <w:pStyle w:val="NoSpacing"/>
              <w:rPr>
                <w:rFonts w:eastAsia="Aptos" w:cs="Aptos"/>
              </w:rPr>
            </w:pPr>
          </w:p>
          <w:p w14:paraId="06F54D1B" w14:textId="77777777" w:rsidR="004F12A6" w:rsidRDefault="004F12A6" w:rsidP="15AB2DAA">
            <w:pPr>
              <w:pStyle w:val="NoSpacing"/>
              <w:rPr>
                <w:rFonts w:eastAsia="Aptos" w:cs="Aptos"/>
              </w:rPr>
            </w:pPr>
          </w:p>
          <w:p w14:paraId="708953B9" w14:textId="77777777" w:rsidR="004F12A6" w:rsidRDefault="004F12A6" w:rsidP="15AB2DAA">
            <w:pPr>
              <w:pStyle w:val="NoSpacing"/>
              <w:rPr>
                <w:rFonts w:eastAsia="Aptos" w:cs="Aptos"/>
              </w:rPr>
            </w:pPr>
          </w:p>
          <w:p w14:paraId="2D43873E" w14:textId="77777777" w:rsidR="004F12A6" w:rsidRDefault="004F12A6" w:rsidP="15AB2DAA">
            <w:pPr>
              <w:pStyle w:val="NoSpacing"/>
              <w:rPr>
                <w:rFonts w:eastAsia="Aptos" w:cs="Aptos"/>
              </w:rPr>
            </w:pPr>
          </w:p>
          <w:p w14:paraId="54B8A7CC" w14:textId="77777777" w:rsidR="004F12A6" w:rsidRDefault="004F12A6" w:rsidP="15AB2DAA">
            <w:pPr>
              <w:pStyle w:val="NoSpacing"/>
              <w:rPr>
                <w:rFonts w:eastAsia="Aptos" w:cs="Aptos"/>
              </w:rPr>
            </w:pPr>
          </w:p>
          <w:p w14:paraId="60C56FEB" w14:textId="77777777" w:rsidR="004F12A6" w:rsidRDefault="004F12A6" w:rsidP="15AB2DAA">
            <w:pPr>
              <w:pStyle w:val="NoSpacing"/>
              <w:rPr>
                <w:rFonts w:eastAsia="Aptos" w:cs="Aptos"/>
              </w:rPr>
            </w:pPr>
          </w:p>
          <w:p w14:paraId="2D78583F" w14:textId="77777777" w:rsidR="004F12A6" w:rsidRDefault="004F12A6" w:rsidP="15AB2DAA">
            <w:pPr>
              <w:pStyle w:val="NoSpacing"/>
              <w:rPr>
                <w:rFonts w:eastAsia="Aptos" w:cs="Aptos"/>
              </w:rPr>
            </w:pPr>
          </w:p>
          <w:p w14:paraId="748A988F" w14:textId="77777777" w:rsidR="004F12A6" w:rsidRDefault="004F12A6" w:rsidP="15AB2DAA">
            <w:pPr>
              <w:pStyle w:val="NoSpacing"/>
              <w:rPr>
                <w:rFonts w:eastAsia="Aptos" w:cs="Aptos"/>
              </w:rPr>
            </w:pPr>
          </w:p>
          <w:p w14:paraId="4E42744B" w14:textId="77777777" w:rsidR="004F12A6" w:rsidRDefault="004F12A6" w:rsidP="15AB2DAA">
            <w:pPr>
              <w:pStyle w:val="NoSpacing"/>
              <w:rPr>
                <w:rFonts w:eastAsia="Aptos" w:cs="Aptos"/>
              </w:rPr>
            </w:pPr>
          </w:p>
          <w:p w14:paraId="14FA21EF" w14:textId="77777777" w:rsidR="004F12A6" w:rsidRDefault="004F12A6" w:rsidP="15AB2DAA">
            <w:pPr>
              <w:pStyle w:val="NoSpacing"/>
              <w:rPr>
                <w:rFonts w:eastAsia="Aptos" w:cs="Aptos"/>
              </w:rPr>
            </w:pPr>
          </w:p>
          <w:p w14:paraId="717B93DB" w14:textId="77777777" w:rsidR="004F12A6" w:rsidRDefault="004F12A6" w:rsidP="15AB2DAA">
            <w:pPr>
              <w:pStyle w:val="NoSpacing"/>
              <w:rPr>
                <w:rFonts w:eastAsia="Aptos" w:cs="Aptos"/>
              </w:rPr>
            </w:pPr>
          </w:p>
          <w:p w14:paraId="4A7681C2" w14:textId="77777777" w:rsidR="004F12A6" w:rsidRDefault="004F12A6" w:rsidP="15AB2DAA">
            <w:pPr>
              <w:pStyle w:val="NoSpacing"/>
              <w:rPr>
                <w:rFonts w:eastAsia="Aptos" w:cs="Aptos"/>
              </w:rPr>
            </w:pPr>
          </w:p>
          <w:p w14:paraId="6356B49C" w14:textId="77777777" w:rsidR="004F12A6" w:rsidRDefault="004F12A6" w:rsidP="15AB2DAA">
            <w:pPr>
              <w:pStyle w:val="NoSpacing"/>
              <w:rPr>
                <w:rFonts w:eastAsia="Aptos" w:cs="Aptos"/>
              </w:rPr>
            </w:pPr>
          </w:p>
          <w:p w14:paraId="25EB389E" w14:textId="77777777" w:rsidR="004F12A6" w:rsidRDefault="004F12A6" w:rsidP="15AB2DAA">
            <w:pPr>
              <w:pStyle w:val="NoSpacing"/>
              <w:rPr>
                <w:rFonts w:eastAsia="Aptos" w:cs="Aptos"/>
              </w:rPr>
            </w:pPr>
          </w:p>
          <w:p w14:paraId="16443D2D" w14:textId="77777777" w:rsidR="004F12A6" w:rsidRDefault="004F12A6" w:rsidP="15AB2DAA">
            <w:pPr>
              <w:pStyle w:val="NoSpacing"/>
              <w:rPr>
                <w:rFonts w:eastAsia="Aptos" w:cs="Aptos"/>
              </w:rPr>
            </w:pPr>
          </w:p>
          <w:p w14:paraId="349F36D1" w14:textId="77777777" w:rsidR="004F12A6" w:rsidRDefault="004F12A6" w:rsidP="15AB2DAA">
            <w:pPr>
              <w:pStyle w:val="NoSpacing"/>
              <w:rPr>
                <w:rFonts w:eastAsia="Aptos" w:cs="Aptos"/>
              </w:rPr>
            </w:pPr>
          </w:p>
          <w:p w14:paraId="2B2CFBC5" w14:textId="77777777" w:rsidR="004F12A6" w:rsidRPr="00926EA0" w:rsidRDefault="004F12A6" w:rsidP="15AB2DAA">
            <w:pPr>
              <w:pStyle w:val="NoSpacing"/>
              <w:rPr>
                <w:rFonts w:eastAsia="Aptos" w:cs="Aptos"/>
              </w:rPr>
            </w:pPr>
          </w:p>
          <w:p w14:paraId="0917F943" w14:textId="77777777" w:rsidR="00203560" w:rsidRDefault="00203560" w:rsidP="00203560">
            <w:pPr>
              <w:rPr>
                <w:b/>
                <w:bCs/>
              </w:rPr>
            </w:pPr>
            <w:r w:rsidRPr="00203560">
              <w:rPr>
                <w:b/>
                <w:bCs/>
              </w:rPr>
              <w:t xml:space="preserve">PS 6000 - </w:t>
            </w:r>
            <w:proofErr w:type="spellStart"/>
            <w:r w:rsidRPr="00203560">
              <w:rPr>
                <w:b/>
                <w:bCs/>
              </w:rPr>
              <w:t>Dmychárna</w:t>
            </w:r>
            <w:proofErr w:type="spellEnd"/>
            <w:r w:rsidRPr="00203560">
              <w:rPr>
                <w:b/>
                <w:bCs/>
              </w:rPr>
              <w:t xml:space="preserve"> </w:t>
            </w:r>
          </w:p>
          <w:p w14:paraId="35577739" w14:textId="77777777" w:rsidR="005F5B0D" w:rsidRPr="00203560" w:rsidRDefault="005F5B0D" w:rsidP="00203560"/>
          <w:p w14:paraId="19668915" w14:textId="77C23EA7" w:rsidR="008A0424" w:rsidRDefault="00203560" w:rsidP="00203560">
            <w:r w:rsidRPr="00926EA0">
              <w:t>V technické specifikaci strojů a zařízení jsou u položky dmychadel pro regeneraci uvedené následující výkonnostní parametry pro 1 ks dmychadla:</w:t>
            </w:r>
          </w:p>
          <w:tbl>
            <w:tblPr>
              <w:tblW w:w="9015" w:type="dxa"/>
              <w:tblCellMar>
                <w:left w:w="70" w:type="dxa"/>
                <w:right w:w="70" w:type="dxa"/>
              </w:tblCellMar>
              <w:tblLook w:val="04A0" w:firstRow="1" w:lastRow="0" w:firstColumn="1" w:lastColumn="0" w:noHBand="0" w:noVBand="1"/>
            </w:tblPr>
            <w:tblGrid>
              <w:gridCol w:w="2542"/>
              <w:gridCol w:w="5185"/>
              <w:gridCol w:w="587"/>
              <w:gridCol w:w="701"/>
            </w:tblGrid>
            <w:tr w:rsidR="00304EB6" w:rsidRPr="004436EC" w14:paraId="15BBADC5" w14:textId="77777777" w:rsidTr="004F12A6">
              <w:trPr>
                <w:trHeight w:val="7230"/>
              </w:trPr>
              <w:tc>
                <w:tcPr>
                  <w:tcW w:w="2542" w:type="dxa"/>
                  <w:tcBorders>
                    <w:top w:val="single" w:sz="8" w:space="0" w:color="auto"/>
                    <w:left w:val="single" w:sz="8" w:space="0" w:color="auto"/>
                    <w:bottom w:val="nil"/>
                    <w:right w:val="single" w:sz="8" w:space="0" w:color="auto"/>
                  </w:tcBorders>
                  <w:shd w:val="clear" w:color="auto" w:fill="auto"/>
                  <w:hideMark/>
                </w:tcPr>
                <w:p w14:paraId="6F874601" w14:textId="77777777" w:rsidR="00304EB6" w:rsidRPr="004436EC" w:rsidRDefault="00304EB6" w:rsidP="00304EB6">
                  <w:pPr>
                    <w:spacing w:after="0" w:line="240" w:lineRule="auto"/>
                    <w:rPr>
                      <w:rFonts w:ascii="Arial" w:eastAsia="Times New Roman" w:hAnsi="Arial" w:cs="Arial"/>
                      <w:sz w:val="20"/>
                      <w:szCs w:val="20"/>
                      <w:lang w:eastAsia="cs-CZ"/>
                    </w:rPr>
                  </w:pPr>
                  <w:r w:rsidRPr="004436EC">
                    <w:rPr>
                      <w:rFonts w:ascii="Arial" w:eastAsia="Times New Roman" w:hAnsi="Arial" w:cs="Arial"/>
                      <w:lang w:eastAsia="cs-CZ"/>
                    </w:rPr>
                    <w:t>6000__CS301A 6000___CS301B 6000__CS301C 6000__MO301A 6000__MO301B 6000__MO301C Příslušenství Zpětná klapka 6000__XC001A 6000__XC001B 6000__XC002A 6000___XC002B 6000__XC003A 6000__XC003B Kompenzátor 6000___XX001_ 6000___XX002_ 6000___XX003_ Tlumič 6000__XQ001_ 6000__XQ002_ 6000__XQ003_</w:t>
                  </w:r>
                </w:p>
              </w:tc>
              <w:tc>
                <w:tcPr>
                  <w:tcW w:w="5185" w:type="dxa"/>
                  <w:tcBorders>
                    <w:top w:val="single" w:sz="8" w:space="0" w:color="auto"/>
                    <w:left w:val="nil"/>
                    <w:bottom w:val="nil"/>
                    <w:right w:val="single" w:sz="8" w:space="0" w:color="auto"/>
                  </w:tcBorders>
                  <w:shd w:val="clear" w:color="auto" w:fill="auto"/>
                  <w:hideMark/>
                </w:tcPr>
                <w:p w14:paraId="339587FB" w14:textId="77777777" w:rsidR="00304EB6" w:rsidRDefault="00304EB6" w:rsidP="00304EB6">
                  <w:pPr>
                    <w:spacing w:after="0" w:line="240" w:lineRule="auto"/>
                    <w:rPr>
                      <w:rFonts w:ascii="Arial" w:eastAsia="Times New Roman" w:hAnsi="Arial" w:cs="Arial"/>
                      <w:b/>
                      <w:bCs/>
                      <w:lang w:eastAsia="cs-CZ"/>
                    </w:rPr>
                  </w:pPr>
                  <w:r w:rsidRPr="004436EC">
                    <w:rPr>
                      <w:rFonts w:ascii="Arial" w:eastAsia="Times New Roman" w:hAnsi="Arial" w:cs="Arial"/>
                      <w:b/>
                      <w:bCs/>
                      <w:lang w:eastAsia="cs-CZ"/>
                    </w:rPr>
                    <w:t xml:space="preserve">Dmychadlo pro regeneraci   </w:t>
                  </w:r>
                </w:p>
                <w:p w14:paraId="0A8E6627" w14:textId="77777777" w:rsidR="00304EB6" w:rsidRDefault="00304EB6" w:rsidP="00304EB6">
                  <w:pPr>
                    <w:spacing w:after="0" w:line="240" w:lineRule="auto"/>
                    <w:rPr>
                      <w:rFonts w:ascii="Arial" w:eastAsia="Times New Roman" w:hAnsi="Arial" w:cs="Arial"/>
                      <w:lang w:eastAsia="cs-CZ"/>
                    </w:rPr>
                  </w:pPr>
                  <w:r w:rsidRPr="004436EC">
                    <w:rPr>
                      <w:rFonts w:ascii="Arial" w:eastAsia="Times New Roman" w:hAnsi="Arial" w:cs="Arial"/>
                      <w:b/>
                      <w:bCs/>
                      <w:lang w:eastAsia="cs-CZ"/>
                    </w:rPr>
                    <w:t xml:space="preserve">                                                                          </w:t>
                  </w:r>
                  <w:r>
                    <w:rPr>
                      <w:rFonts w:ascii="Arial" w:eastAsia="Times New Roman" w:hAnsi="Arial" w:cs="Arial"/>
                      <w:b/>
                      <w:bCs/>
                      <w:lang w:eastAsia="cs-CZ"/>
                    </w:rPr>
                    <w:t xml:space="preserve">                             </w:t>
                  </w:r>
                  <w:r w:rsidRPr="004436EC">
                    <w:rPr>
                      <w:rFonts w:ascii="Arial" w:eastAsia="Times New Roman" w:hAnsi="Arial" w:cs="Arial"/>
                      <w:lang w:eastAsia="cs-CZ"/>
                    </w:rPr>
                    <w:t>Osazené na rámu s protihlukovým krytem vybavené vlastním chlazením a odtahem chladícího vzduchu vně objektu pomocí potrubí. (připojení ke stoji pomocí dvojice přírub). Vybavené odfukem při rozjezdu dmychadla vedeného vně objektu pomocí potrubí (připojení ke stroji pomocí dvojice přírub). Příprava pro napojení sacího potrubí pomocí příruby DN600                                               Příprava pro napojení dvojice výtlačných potrubí DN200                                                Veškeré přírubové napojení dle norem ISO</w:t>
                  </w:r>
                  <w:r>
                    <w:rPr>
                      <w:rFonts w:ascii="Arial" w:eastAsia="Times New Roman" w:hAnsi="Arial" w:cs="Arial"/>
                      <w:lang w:eastAsia="cs-CZ"/>
                    </w:rPr>
                    <w:t xml:space="preserve">  </w:t>
                  </w:r>
                </w:p>
                <w:p w14:paraId="13F1A1F7" w14:textId="77777777" w:rsidR="00304EB6" w:rsidRDefault="00304EB6" w:rsidP="00304EB6">
                  <w:pPr>
                    <w:spacing w:after="0" w:line="240" w:lineRule="auto"/>
                    <w:rPr>
                      <w:rFonts w:ascii="Arial" w:eastAsia="Times New Roman" w:hAnsi="Arial" w:cs="Arial"/>
                      <w:lang w:eastAsia="cs-CZ"/>
                    </w:rPr>
                  </w:pPr>
                </w:p>
                <w:p w14:paraId="37DF3242" w14:textId="77777777" w:rsidR="00304EB6" w:rsidRDefault="00304EB6" w:rsidP="00304EB6">
                  <w:pPr>
                    <w:spacing w:after="0" w:line="240" w:lineRule="auto"/>
                    <w:rPr>
                      <w:rFonts w:ascii="Arial" w:eastAsia="Times New Roman" w:hAnsi="Arial" w:cs="Arial"/>
                      <w:lang w:eastAsia="cs-CZ"/>
                    </w:rPr>
                  </w:pPr>
                  <w:r w:rsidRPr="004436EC">
                    <w:rPr>
                      <w:rFonts w:ascii="Arial" w:eastAsia="Times New Roman" w:hAnsi="Arial" w:cs="Arial"/>
                      <w:lang w:eastAsia="cs-CZ"/>
                    </w:rPr>
                    <w:t xml:space="preserve"> </w:t>
                  </w:r>
                  <w:proofErr w:type="gramStart"/>
                  <w:r w:rsidRPr="004436EC">
                    <w:rPr>
                      <w:rFonts w:ascii="Arial" w:eastAsia="Times New Roman" w:hAnsi="Arial" w:cs="Arial"/>
                      <w:u w:val="single"/>
                      <w:lang w:eastAsia="cs-CZ"/>
                    </w:rPr>
                    <w:t xml:space="preserve">Rozměry: </w:t>
                  </w:r>
                  <w:r w:rsidRPr="004436EC">
                    <w:rPr>
                      <w:rFonts w:ascii="Arial" w:eastAsia="Times New Roman" w:hAnsi="Arial" w:cs="Arial"/>
                      <w:lang w:eastAsia="cs-CZ"/>
                    </w:rPr>
                    <w:t xml:space="preserve">  </w:t>
                  </w:r>
                  <w:proofErr w:type="gramEnd"/>
                  <w:r w:rsidRPr="004436EC">
                    <w:rPr>
                      <w:rFonts w:ascii="Arial" w:eastAsia="Times New Roman" w:hAnsi="Arial" w:cs="Arial"/>
                      <w:lang w:eastAsia="cs-CZ"/>
                    </w:rPr>
                    <w:t xml:space="preserve">                                                                                                            1 800 x 2 300 (+350 na sání) s výškou 1 850 mm  </w:t>
                  </w:r>
                </w:p>
                <w:p w14:paraId="0897EA4B" w14:textId="77777777" w:rsidR="00304EB6" w:rsidRDefault="00304EB6" w:rsidP="00304EB6">
                  <w:pPr>
                    <w:spacing w:after="0" w:line="240" w:lineRule="auto"/>
                    <w:rPr>
                      <w:rFonts w:ascii="Arial" w:eastAsia="Times New Roman" w:hAnsi="Arial" w:cs="Arial"/>
                      <w:lang w:eastAsia="cs-CZ"/>
                    </w:rPr>
                  </w:pPr>
                  <w:r w:rsidRPr="004436EC">
                    <w:rPr>
                      <w:rFonts w:ascii="Arial" w:eastAsia="Times New Roman" w:hAnsi="Arial" w:cs="Arial"/>
                      <w:lang w:eastAsia="cs-CZ"/>
                    </w:rPr>
                    <w:t xml:space="preserve"> </w:t>
                  </w:r>
                </w:p>
                <w:p w14:paraId="4703EA54" w14:textId="77777777" w:rsidR="00304EB6" w:rsidRDefault="00304EB6" w:rsidP="00304EB6">
                  <w:pPr>
                    <w:spacing w:after="0" w:line="240" w:lineRule="auto"/>
                    <w:rPr>
                      <w:rFonts w:ascii="Arial" w:eastAsia="Times New Roman" w:hAnsi="Arial" w:cs="Arial"/>
                      <w:lang w:eastAsia="cs-CZ"/>
                    </w:rPr>
                  </w:pPr>
                  <w:r w:rsidRPr="004436EC">
                    <w:rPr>
                      <w:rFonts w:ascii="Arial" w:eastAsia="Times New Roman" w:hAnsi="Arial" w:cs="Arial"/>
                      <w:lang w:eastAsia="cs-CZ"/>
                    </w:rPr>
                    <w:t xml:space="preserve"> </w:t>
                  </w:r>
                  <w:r w:rsidRPr="004436EC">
                    <w:rPr>
                      <w:rFonts w:ascii="Arial" w:eastAsia="Times New Roman" w:hAnsi="Arial" w:cs="Arial"/>
                      <w:u w:val="single"/>
                      <w:lang w:eastAsia="cs-CZ"/>
                    </w:rPr>
                    <w:t>Výkonnostní parametry:</w:t>
                  </w:r>
                  <w:r w:rsidRPr="004436EC">
                    <w:rPr>
                      <w:rFonts w:ascii="Arial" w:eastAsia="Times New Roman" w:hAnsi="Arial" w:cs="Arial"/>
                      <w:lang w:eastAsia="cs-CZ"/>
                    </w:rPr>
                    <w:t xml:space="preserve">                                                                                                          </w:t>
                  </w:r>
                  <w:r w:rsidRPr="004436EC">
                    <w:rPr>
                      <w:rFonts w:ascii="Arial" w:eastAsia="Times New Roman" w:hAnsi="Arial" w:cs="Arial"/>
                      <w:u w:val="single"/>
                      <w:lang w:eastAsia="cs-CZ"/>
                    </w:rPr>
                    <w:t xml:space="preserve"> </w:t>
                  </w:r>
                  <w:r w:rsidRPr="004436EC">
                    <w:rPr>
                      <w:rFonts w:ascii="Arial" w:eastAsia="Times New Roman" w:hAnsi="Arial" w:cs="Arial"/>
                      <w:b/>
                      <w:bCs/>
                      <w:color w:val="FF0000"/>
                      <w:lang w:eastAsia="cs-CZ"/>
                    </w:rPr>
                    <w:t>-  Q = 2 942 + 4 534 m</w:t>
                  </w:r>
                  <w:r w:rsidRPr="004436EC">
                    <w:rPr>
                      <w:rFonts w:ascii="Arial" w:eastAsia="Times New Roman" w:hAnsi="Arial" w:cs="Arial"/>
                      <w:b/>
                      <w:bCs/>
                      <w:color w:val="FF0000"/>
                      <w:vertAlign w:val="superscript"/>
                      <w:lang w:eastAsia="cs-CZ"/>
                    </w:rPr>
                    <w:t>3</w:t>
                  </w:r>
                  <w:r w:rsidRPr="004436EC">
                    <w:rPr>
                      <w:rFonts w:ascii="Arial" w:eastAsia="Times New Roman" w:hAnsi="Arial" w:cs="Arial"/>
                      <w:b/>
                      <w:bCs/>
                      <w:color w:val="FF0000"/>
                      <w:lang w:eastAsia="cs-CZ"/>
                    </w:rPr>
                    <w:t>/hod</w:t>
                  </w:r>
                  <w:r w:rsidRPr="004436EC">
                    <w:rPr>
                      <w:rFonts w:ascii="Arial" w:eastAsia="Times New Roman" w:hAnsi="Arial" w:cs="Arial"/>
                      <w:lang w:eastAsia="cs-CZ"/>
                    </w:rPr>
                    <w:t xml:space="preserve">;                                                                                                           -  návrhový přetlak </w:t>
                  </w:r>
                  <w:proofErr w:type="spellStart"/>
                  <w:r w:rsidRPr="004436EC">
                    <w:rPr>
                      <w:rFonts w:ascii="Arial" w:eastAsia="Times New Roman" w:hAnsi="Arial" w:cs="Arial"/>
                      <w:lang w:eastAsia="cs-CZ"/>
                    </w:rPr>
                    <w:t>Ap</w:t>
                  </w:r>
                  <w:proofErr w:type="spellEnd"/>
                  <w:r w:rsidRPr="004436EC">
                    <w:rPr>
                      <w:rFonts w:ascii="Arial" w:eastAsia="Times New Roman" w:hAnsi="Arial" w:cs="Arial"/>
                      <w:lang w:eastAsia="cs-CZ"/>
                    </w:rPr>
                    <w:t xml:space="preserve">=120 </w:t>
                  </w:r>
                  <w:proofErr w:type="spellStart"/>
                  <w:r w:rsidRPr="004436EC">
                    <w:rPr>
                      <w:rFonts w:ascii="Arial" w:eastAsia="Times New Roman" w:hAnsi="Arial" w:cs="Arial"/>
                      <w:lang w:eastAsia="cs-CZ"/>
                    </w:rPr>
                    <w:t>kPa</w:t>
                  </w:r>
                  <w:proofErr w:type="spellEnd"/>
                  <w:r w:rsidRPr="004436EC">
                    <w:rPr>
                      <w:rFonts w:ascii="Arial" w:eastAsia="Times New Roman" w:hAnsi="Arial" w:cs="Arial"/>
                      <w:lang w:eastAsia="cs-CZ"/>
                    </w:rPr>
                    <w:t xml:space="preserve">;                                                                                                                     -  hloubka kapaliny max. H - 11,87 m                                                                                                                        -  Příkon -                   max. 250 kW                                                        </w:t>
                  </w:r>
                  <w:r>
                    <w:rPr>
                      <w:rFonts w:ascii="Arial" w:eastAsia="Times New Roman" w:hAnsi="Arial" w:cs="Arial"/>
                      <w:lang w:eastAsia="cs-CZ"/>
                    </w:rPr>
                    <w:t xml:space="preserve">-  </w:t>
                  </w:r>
                  <w:r w:rsidRPr="004436EC">
                    <w:rPr>
                      <w:rFonts w:ascii="Arial" w:eastAsia="Times New Roman" w:hAnsi="Arial" w:cs="Arial"/>
                      <w:lang w:eastAsia="cs-CZ"/>
                    </w:rPr>
                    <w:t xml:space="preserve">Jmenovitý proud    -         max. 413A                                                                                                                  -  Napětí -                   3x 400 V                                                                                                                        -  Frekvence -               50 Hz </w:t>
                  </w:r>
                </w:p>
                <w:p w14:paraId="7C41835C" w14:textId="77777777" w:rsidR="00304EB6" w:rsidRDefault="00304EB6" w:rsidP="00304EB6">
                  <w:pPr>
                    <w:spacing w:after="0" w:line="240" w:lineRule="auto"/>
                    <w:rPr>
                      <w:rFonts w:ascii="Arial" w:eastAsia="Times New Roman" w:hAnsi="Arial" w:cs="Arial"/>
                      <w:lang w:eastAsia="cs-CZ"/>
                    </w:rPr>
                  </w:pPr>
                </w:p>
                <w:p w14:paraId="7859615F" w14:textId="77777777" w:rsidR="00304EB6" w:rsidRDefault="00304EB6" w:rsidP="00304EB6">
                  <w:pPr>
                    <w:spacing w:after="0" w:line="240" w:lineRule="auto"/>
                    <w:rPr>
                      <w:rFonts w:ascii="Arial" w:eastAsia="Times New Roman" w:hAnsi="Arial" w:cs="Arial"/>
                      <w:lang w:eastAsia="cs-CZ"/>
                    </w:rPr>
                  </w:pPr>
                  <w:r w:rsidRPr="004436EC">
                    <w:rPr>
                      <w:rFonts w:ascii="Arial" w:eastAsia="Times New Roman" w:hAnsi="Arial" w:cs="Arial"/>
                      <w:lang w:eastAsia="cs-CZ"/>
                    </w:rPr>
                    <w:t xml:space="preserve"> Regulace otáček pomocí frekvenčního měniče</w:t>
                  </w:r>
                </w:p>
                <w:p w14:paraId="17F96A95" w14:textId="77777777" w:rsidR="00304EB6" w:rsidRDefault="00304EB6" w:rsidP="00304EB6">
                  <w:pPr>
                    <w:spacing w:after="0" w:line="240" w:lineRule="auto"/>
                    <w:rPr>
                      <w:rFonts w:ascii="Arial" w:eastAsia="Times New Roman" w:hAnsi="Arial" w:cs="Arial"/>
                      <w:lang w:eastAsia="cs-CZ"/>
                    </w:rPr>
                  </w:pPr>
                  <w:r w:rsidRPr="004436EC">
                    <w:rPr>
                      <w:rFonts w:ascii="Arial" w:eastAsia="Times New Roman" w:hAnsi="Arial" w:cs="Arial"/>
                      <w:lang w:eastAsia="cs-CZ"/>
                    </w:rPr>
                    <w:t xml:space="preserve">  </w:t>
                  </w:r>
                </w:p>
                <w:p w14:paraId="567A8D5A" w14:textId="77777777" w:rsidR="00304EB6" w:rsidRPr="004436EC" w:rsidRDefault="00304EB6" w:rsidP="00304EB6">
                  <w:pPr>
                    <w:spacing w:after="0" w:line="240" w:lineRule="auto"/>
                    <w:rPr>
                      <w:rFonts w:ascii="Arial" w:eastAsia="Times New Roman" w:hAnsi="Arial" w:cs="Arial"/>
                      <w:lang w:eastAsia="cs-CZ"/>
                    </w:rPr>
                  </w:pPr>
                  <w:r w:rsidRPr="004436EC">
                    <w:rPr>
                      <w:rFonts w:ascii="Arial" w:eastAsia="Times New Roman" w:hAnsi="Arial" w:cs="Arial"/>
                      <w:lang w:eastAsia="cs-CZ"/>
                    </w:rPr>
                    <w:t xml:space="preserve">Tak aby byla splněna podmínka přerušované dodávky vzduchu do nádrží, bude dmychadlo pro tento provozní režim konstrukčně vyhovovat, a to především vykazovat vysokou životnost na počet cyklů změn dodávka / </w:t>
                  </w:r>
                  <w:proofErr w:type="spellStart"/>
                  <w:r w:rsidRPr="004436EC">
                    <w:rPr>
                      <w:rFonts w:ascii="Arial" w:eastAsia="Times New Roman" w:hAnsi="Arial" w:cs="Arial"/>
                      <w:lang w:eastAsia="cs-CZ"/>
                    </w:rPr>
                    <w:t>nedo</w:t>
                  </w:r>
                  <w:proofErr w:type="spellEnd"/>
                  <w:r w:rsidRPr="004436EC">
                    <w:rPr>
                      <w:rFonts w:ascii="Arial" w:eastAsia="Times New Roman" w:hAnsi="Arial" w:cs="Arial"/>
                      <w:lang w:eastAsia="cs-CZ"/>
                    </w:rPr>
                    <w:t>-dávka vzduchu (cyklů start / stop dmychadla), s garancí alespoň 100 000 cyklů.</w:t>
                  </w:r>
                </w:p>
              </w:tc>
              <w:tc>
                <w:tcPr>
                  <w:tcW w:w="587" w:type="dxa"/>
                  <w:vMerge w:val="restart"/>
                  <w:tcBorders>
                    <w:top w:val="single" w:sz="8" w:space="0" w:color="auto"/>
                    <w:left w:val="single" w:sz="8" w:space="0" w:color="auto"/>
                    <w:bottom w:val="nil"/>
                    <w:right w:val="single" w:sz="8" w:space="0" w:color="auto"/>
                  </w:tcBorders>
                  <w:shd w:val="clear" w:color="auto" w:fill="auto"/>
                  <w:noWrap/>
                  <w:hideMark/>
                </w:tcPr>
                <w:p w14:paraId="368D8A84" w14:textId="77777777" w:rsidR="00304EB6" w:rsidRPr="004436EC" w:rsidRDefault="00304EB6" w:rsidP="00304EB6">
                  <w:pPr>
                    <w:spacing w:after="0" w:line="240" w:lineRule="auto"/>
                    <w:jc w:val="center"/>
                    <w:rPr>
                      <w:rFonts w:ascii="Arial" w:eastAsia="Times New Roman" w:hAnsi="Arial" w:cs="Arial"/>
                      <w:sz w:val="20"/>
                      <w:szCs w:val="20"/>
                      <w:lang w:eastAsia="cs-CZ"/>
                    </w:rPr>
                  </w:pPr>
                  <w:proofErr w:type="spellStart"/>
                  <w:r w:rsidRPr="004436EC">
                    <w:rPr>
                      <w:rFonts w:ascii="Arial" w:eastAsia="Times New Roman" w:hAnsi="Arial" w:cs="Arial"/>
                      <w:lang w:eastAsia="cs-CZ"/>
                    </w:rPr>
                    <w:t>kpl</w:t>
                  </w:r>
                  <w:proofErr w:type="spellEnd"/>
                </w:p>
              </w:tc>
              <w:tc>
                <w:tcPr>
                  <w:tcW w:w="701" w:type="dxa"/>
                  <w:vMerge w:val="restart"/>
                  <w:tcBorders>
                    <w:top w:val="single" w:sz="8" w:space="0" w:color="auto"/>
                    <w:left w:val="single" w:sz="8" w:space="0" w:color="auto"/>
                    <w:bottom w:val="nil"/>
                    <w:right w:val="single" w:sz="8" w:space="0" w:color="auto"/>
                  </w:tcBorders>
                  <w:shd w:val="clear" w:color="auto" w:fill="auto"/>
                  <w:noWrap/>
                  <w:hideMark/>
                </w:tcPr>
                <w:p w14:paraId="6F07B51B" w14:textId="77777777" w:rsidR="00304EB6" w:rsidRPr="004436EC" w:rsidRDefault="00304EB6" w:rsidP="00304EB6">
                  <w:pPr>
                    <w:spacing w:after="0" w:line="240" w:lineRule="auto"/>
                    <w:jc w:val="center"/>
                    <w:rPr>
                      <w:rFonts w:ascii="Arial" w:eastAsia="Times New Roman" w:hAnsi="Arial" w:cs="Arial"/>
                      <w:sz w:val="20"/>
                      <w:szCs w:val="20"/>
                      <w:lang w:eastAsia="cs-CZ"/>
                    </w:rPr>
                  </w:pPr>
                  <w:r w:rsidRPr="004436EC">
                    <w:rPr>
                      <w:rFonts w:ascii="Arial" w:eastAsia="Times New Roman" w:hAnsi="Arial" w:cs="Arial"/>
                      <w:lang w:eastAsia="cs-CZ"/>
                    </w:rPr>
                    <w:t>3</w:t>
                  </w:r>
                </w:p>
              </w:tc>
            </w:tr>
            <w:tr w:rsidR="00304EB6" w:rsidRPr="004436EC" w14:paraId="20828768" w14:textId="77777777" w:rsidTr="004F12A6">
              <w:trPr>
                <w:trHeight w:val="5426"/>
              </w:trPr>
              <w:tc>
                <w:tcPr>
                  <w:tcW w:w="2542" w:type="dxa"/>
                  <w:tcBorders>
                    <w:top w:val="nil"/>
                    <w:left w:val="single" w:sz="8" w:space="0" w:color="auto"/>
                    <w:bottom w:val="nil"/>
                    <w:right w:val="single" w:sz="8" w:space="0" w:color="auto"/>
                  </w:tcBorders>
                  <w:shd w:val="clear" w:color="auto" w:fill="auto"/>
                  <w:noWrap/>
                  <w:hideMark/>
                </w:tcPr>
                <w:p w14:paraId="5C0613D7" w14:textId="77777777" w:rsidR="00304EB6" w:rsidRPr="004436EC" w:rsidRDefault="00304EB6" w:rsidP="00304EB6">
                  <w:pPr>
                    <w:spacing w:after="0" w:line="240" w:lineRule="auto"/>
                    <w:rPr>
                      <w:rFonts w:ascii="Arial" w:eastAsia="Times New Roman" w:hAnsi="Arial" w:cs="Arial"/>
                      <w:sz w:val="20"/>
                      <w:szCs w:val="20"/>
                      <w:lang w:eastAsia="cs-CZ"/>
                    </w:rPr>
                  </w:pPr>
                  <w:r w:rsidRPr="004436EC">
                    <w:rPr>
                      <w:rFonts w:ascii="Arial" w:eastAsia="Times New Roman" w:hAnsi="Arial" w:cs="Arial"/>
                      <w:sz w:val="20"/>
                      <w:szCs w:val="20"/>
                      <w:lang w:eastAsia="cs-CZ"/>
                    </w:rPr>
                    <w:t> </w:t>
                  </w:r>
                </w:p>
              </w:tc>
              <w:tc>
                <w:tcPr>
                  <w:tcW w:w="5185" w:type="dxa"/>
                  <w:tcBorders>
                    <w:top w:val="nil"/>
                    <w:left w:val="nil"/>
                    <w:bottom w:val="single" w:sz="8" w:space="0" w:color="auto"/>
                    <w:right w:val="single" w:sz="8" w:space="0" w:color="auto"/>
                  </w:tcBorders>
                  <w:shd w:val="clear" w:color="auto" w:fill="auto"/>
                  <w:hideMark/>
                </w:tcPr>
                <w:p w14:paraId="7033FE90" w14:textId="77777777" w:rsidR="00304EB6" w:rsidRPr="004436EC" w:rsidRDefault="00304EB6" w:rsidP="00304EB6">
                  <w:pPr>
                    <w:spacing w:after="0" w:line="240" w:lineRule="auto"/>
                    <w:rPr>
                      <w:rFonts w:ascii="Arial" w:eastAsia="Times New Roman" w:hAnsi="Arial" w:cs="Arial"/>
                      <w:lang w:eastAsia="cs-CZ"/>
                    </w:rPr>
                  </w:pPr>
                  <w:r w:rsidRPr="004436EC">
                    <w:rPr>
                      <w:rFonts w:ascii="Arial" w:eastAsia="Times New Roman" w:hAnsi="Arial" w:cs="Arial"/>
                      <w:lang w:eastAsia="cs-CZ"/>
                    </w:rPr>
                    <w:t xml:space="preserve"> Dmychadlo bude provedeno v kompaktním provedení tzn. (motorová jednotka + dmychadlové soustrojí + kontrolní prvky), v suchém provedení tzn. Bez olejového hospodářství.                                 Maximální přípustná hladina hluku dmychadlového soustrojí s protihlukovým krytem je stanovena na 85 dB.                                   </w:t>
                  </w:r>
                  <w:r w:rsidRPr="004436EC">
                    <w:rPr>
                      <w:rFonts w:ascii="Arial" w:eastAsia="Times New Roman" w:hAnsi="Arial" w:cs="Arial"/>
                      <w:u w:val="single"/>
                      <w:lang w:eastAsia="cs-CZ"/>
                    </w:rPr>
                    <w:t xml:space="preserve">Příslušenství k </w:t>
                  </w:r>
                  <w:proofErr w:type="gramStart"/>
                  <w:r w:rsidRPr="004436EC">
                    <w:rPr>
                      <w:rFonts w:ascii="Arial" w:eastAsia="Times New Roman" w:hAnsi="Arial" w:cs="Arial"/>
                      <w:u w:val="single"/>
                      <w:lang w:eastAsia="cs-CZ"/>
                    </w:rPr>
                    <w:t xml:space="preserve">dmychadlům: </w:t>
                  </w:r>
                  <w:r w:rsidRPr="004436EC">
                    <w:rPr>
                      <w:rFonts w:ascii="Arial" w:eastAsia="Times New Roman" w:hAnsi="Arial" w:cs="Arial"/>
                      <w:lang w:eastAsia="cs-CZ"/>
                    </w:rPr>
                    <w:t xml:space="preserve">  </w:t>
                  </w:r>
                  <w:proofErr w:type="gramEnd"/>
                  <w:r w:rsidRPr="004436EC">
                    <w:rPr>
                      <w:rFonts w:ascii="Arial" w:eastAsia="Times New Roman" w:hAnsi="Arial" w:cs="Arial"/>
                      <w:lang w:eastAsia="cs-CZ"/>
                    </w:rPr>
                    <w:t xml:space="preserve">                                                                 Tlumící buňka, filtr na sání, vnitřní tlumení krytu, vstup pro chlazení vzduchem, spouštěcí odlehčovací ventil s tlumičem, integrovaná zpětná klapka, kompenzátor na výtlaku, tlumič na výtlaku, tlumič na sání, chlazení vzduchem a vodou.                                                     Harmonický filtr externí o rozměrech 1 400 x 1 000 x výška 750 mm vč. kabeláže pro propojení do 5 m                                            </w:t>
                  </w:r>
                  <w:proofErr w:type="gramStart"/>
                  <w:r w:rsidRPr="004436EC">
                    <w:rPr>
                      <w:rFonts w:ascii="Arial" w:eastAsia="Times New Roman" w:hAnsi="Arial" w:cs="Arial"/>
                      <w:u w:val="single"/>
                      <w:lang w:eastAsia="cs-CZ"/>
                    </w:rPr>
                    <w:t xml:space="preserve">Komunikace: </w:t>
                  </w:r>
                  <w:r w:rsidRPr="004436EC">
                    <w:rPr>
                      <w:rFonts w:ascii="Arial" w:eastAsia="Times New Roman" w:hAnsi="Arial" w:cs="Arial"/>
                      <w:lang w:eastAsia="cs-CZ"/>
                    </w:rPr>
                    <w:t xml:space="preserve">  </w:t>
                  </w:r>
                  <w:proofErr w:type="gramEnd"/>
                  <w:r w:rsidRPr="004436EC">
                    <w:rPr>
                      <w:rFonts w:ascii="Arial" w:eastAsia="Times New Roman" w:hAnsi="Arial" w:cs="Arial"/>
                      <w:lang w:eastAsia="cs-CZ"/>
                    </w:rPr>
                    <w:t xml:space="preserve">                                                                                         </w:t>
                  </w:r>
                  <w:proofErr w:type="spellStart"/>
                  <w:r w:rsidRPr="004436EC">
                    <w:rPr>
                      <w:rFonts w:ascii="Arial" w:eastAsia="Times New Roman" w:hAnsi="Arial" w:cs="Arial"/>
                      <w:lang w:eastAsia="cs-CZ"/>
                    </w:rPr>
                    <w:t>Modbus</w:t>
                  </w:r>
                  <w:proofErr w:type="spellEnd"/>
                  <w:r w:rsidRPr="004436EC">
                    <w:rPr>
                      <w:rFonts w:ascii="Arial" w:eastAsia="Times New Roman" w:hAnsi="Arial" w:cs="Arial"/>
                      <w:lang w:eastAsia="cs-CZ"/>
                    </w:rPr>
                    <w:t xml:space="preserve"> RTU / </w:t>
                  </w:r>
                  <w:proofErr w:type="spellStart"/>
                  <w:r w:rsidRPr="004436EC">
                    <w:rPr>
                      <w:rFonts w:ascii="Arial" w:eastAsia="Times New Roman" w:hAnsi="Arial" w:cs="Arial"/>
                      <w:lang w:eastAsia="cs-CZ"/>
                    </w:rPr>
                    <w:t>Profibus</w:t>
                  </w:r>
                  <w:proofErr w:type="spellEnd"/>
                  <w:r w:rsidRPr="004436EC">
                    <w:rPr>
                      <w:rFonts w:ascii="Arial" w:eastAsia="Times New Roman" w:hAnsi="Arial" w:cs="Arial"/>
                      <w:lang w:eastAsia="cs-CZ"/>
                    </w:rPr>
                    <w:t xml:space="preserve"> DP/</w:t>
                  </w:r>
                  <w:proofErr w:type="spellStart"/>
                  <w:r w:rsidRPr="004436EC">
                    <w:rPr>
                      <w:rFonts w:ascii="Arial" w:eastAsia="Times New Roman" w:hAnsi="Arial" w:cs="Arial"/>
                      <w:lang w:eastAsia="cs-CZ"/>
                    </w:rPr>
                    <w:t>ProfiNET</w:t>
                  </w:r>
                  <w:proofErr w:type="spellEnd"/>
                  <w:r w:rsidRPr="004436EC">
                    <w:rPr>
                      <w:rFonts w:ascii="Arial" w:eastAsia="Times New Roman" w:hAnsi="Arial" w:cs="Arial"/>
                      <w:lang w:eastAsia="cs-CZ"/>
                    </w:rPr>
                    <w:t xml:space="preserve">/ 4 - 20 mA                                              Vč. příslušenství a nutných komponent pro správnou funkci dmychadlového soustrojí.                                                                      </w:t>
                  </w:r>
                  <w:r w:rsidRPr="004436EC">
                    <w:rPr>
                      <w:rFonts w:ascii="Arial" w:eastAsia="Times New Roman" w:hAnsi="Arial" w:cs="Arial"/>
                      <w:i/>
                      <w:iCs/>
                      <w:lang w:eastAsia="cs-CZ"/>
                    </w:rPr>
                    <w:t>Dmychadlo bude bezproblémově pracovat při dodržení kvality dodávek el. Proudu dle ČSN EN 50160 (33 0122). Tzn., že poklesy napětí v síti v řádu milisekund, které jsou v předmětné lokalitě běžné, nebudou způsobovat výpadky a poškozování zařízení.</w:t>
                  </w:r>
                </w:p>
              </w:tc>
              <w:tc>
                <w:tcPr>
                  <w:tcW w:w="587" w:type="dxa"/>
                  <w:vMerge/>
                  <w:tcBorders>
                    <w:top w:val="single" w:sz="8" w:space="0" w:color="auto"/>
                    <w:left w:val="single" w:sz="8" w:space="0" w:color="auto"/>
                    <w:bottom w:val="nil"/>
                    <w:right w:val="single" w:sz="8" w:space="0" w:color="auto"/>
                  </w:tcBorders>
                  <w:vAlign w:val="center"/>
                  <w:hideMark/>
                </w:tcPr>
                <w:p w14:paraId="15B9C3E4" w14:textId="77777777" w:rsidR="00304EB6" w:rsidRPr="004436EC" w:rsidRDefault="00304EB6" w:rsidP="00304EB6">
                  <w:pPr>
                    <w:spacing w:after="0" w:line="240" w:lineRule="auto"/>
                    <w:rPr>
                      <w:rFonts w:ascii="Arial" w:eastAsia="Times New Roman" w:hAnsi="Arial" w:cs="Arial"/>
                      <w:sz w:val="20"/>
                      <w:szCs w:val="20"/>
                      <w:lang w:eastAsia="cs-CZ"/>
                    </w:rPr>
                  </w:pPr>
                </w:p>
              </w:tc>
              <w:tc>
                <w:tcPr>
                  <w:tcW w:w="701" w:type="dxa"/>
                  <w:vMerge/>
                  <w:tcBorders>
                    <w:top w:val="single" w:sz="8" w:space="0" w:color="auto"/>
                    <w:left w:val="single" w:sz="8" w:space="0" w:color="auto"/>
                    <w:bottom w:val="nil"/>
                    <w:right w:val="single" w:sz="8" w:space="0" w:color="auto"/>
                  </w:tcBorders>
                  <w:vAlign w:val="center"/>
                  <w:hideMark/>
                </w:tcPr>
                <w:p w14:paraId="129CB2C2" w14:textId="77777777" w:rsidR="00304EB6" w:rsidRPr="004436EC" w:rsidRDefault="00304EB6" w:rsidP="00304EB6">
                  <w:pPr>
                    <w:spacing w:after="0" w:line="240" w:lineRule="auto"/>
                    <w:rPr>
                      <w:rFonts w:ascii="Arial" w:eastAsia="Times New Roman" w:hAnsi="Arial" w:cs="Arial"/>
                      <w:sz w:val="20"/>
                      <w:szCs w:val="20"/>
                      <w:lang w:eastAsia="cs-CZ"/>
                    </w:rPr>
                  </w:pPr>
                </w:p>
              </w:tc>
            </w:tr>
          </w:tbl>
          <w:p w14:paraId="70AB1D13" w14:textId="77777777" w:rsidR="00304EB6" w:rsidRPr="00926EA0" w:rsidRDefault="00304EB6" w:rsidP="00203560"/>
          <w:p w14:paraId="027F7062" w14:textId="77777777" w:rsidR="009E7A4C" w:rsidRPr="009E7A4C" w:rsidRDefault="009E7A4C" w:rsidP="009E7A4C">
            <w:pPr>
              <w:spacing w:before="1" w:line="259" w:lineRule="auto"/>
              <w:ind w:left="116" w:right="1331"/>
              <w:jc w:val="both"/>
              <w:rPr>
                <w:b/>
              </w:rPr>
            </w:pPr>
            <w:r w:rsidRPr="009E7A4C">
              <w:rPr>
                <w:b/>
                <w:bCs/>
              </w:rPr>
              <w:t xml:space="preserve">Dotaz: </w:t>
            </w:r>
          </w:p>
          <w:p w14:paraId="6E070AAF" w14:textId="77777777" w:rsidR="009E7A4C" w:rsidRPr="009E7A4C" w:rsidRDefault="009E7A4C" w:rsidP="009E7A4C">
            <w:pPr>
              <w:spacing w:before="1" w:line="259" w:lineRule="auto"/>
              <w:ind w:left="116" w:right="1331"/>
              <w:jc w:val="both"/>
              <w:rPr>
                <w:bCs/>
              </w:rPr>
            </w:pPr>
            <w:r w:rsidRPr="009E7A4C">
              <w:rPr>
                <w:bCs/>
              </w:rPr>
              <w:t xml:space="preserve">S ohledem na požadavek ZD na výkonové parametry dmychadel pro regeneraci (2 + 1 ks rezerva) a uvedené potřebné množství vzduchu pro celou regeneraci (3 938 m3/hod) se nám jeví návrh dmychadel pro Q = 2 942 – 4 534 m3/hod značně předimenzovaný. </w:t>
            </w:r>
          </w:p>
          <w:p w14:paraId="486BF63E" w14:textId="72DF9A9C" w:rsidR="393F450A" w:rsidRDefault="393F450A" w:rsidP="393F450A">
            <w:pPr>
              <w:spacing w:before="1" w:line="259" w:lineRule="auto"/>
              <w:ind w:left="116" w:right="1331"/>
              <w:jc w:val="both"/>
            </w:pPr>
          </w:p>
          <w:p w14:paraId="2034BBBD" w14:textId="4D368494" w:rsidR="008A0424" w:rsidRPr="00926EA0" w:rsidRDefault="009E7A4C" w:rsidP="00C42D81">
            <w:pPr>
              <w:spacing w:before="1" w:line="259" w:lineRule="auto"/>
              <w:ind w:left="116" w:right="1331"/>
              <w:jc w:val="both"/>
            </w:pPr>
            <w:r>
              <w:t>Opravdu požaduje zadavatel dmychadla pro regeneraci s uvedenými výkonnostními parametry?</w:t>
            </w:r>
          </w:p>
        </w:tc>
      </w:tr>
      <w:tr w:rsidR="00A92B70" w14:paraId="34011E26" w14:textId="77777777" w:rsidTr="3AAC1834">
        <w:trPr>
          <w:trHeight w:val="244"/>
        </w:trPr>
        <w:tc>
          <w:tcPr>
            <w:tcW w:w="9062" w:type="dxa"/>
            <w:gridSpan w:val="2"/>
            <w:tcBorders>
              <w:left w:val="nil"/>
              <w:right w:val="nil"/>
            </w:tcBorders>
            <w:shd w:val="clear" w:color="auto" w:fill="auto"/>
            <w:vAlign w:val="center"/>
          </w:tcPr>
          <w:p w14:paraId="6F7D465C" w14:textId="77777777" w:rsidR="00A92B70" w:rsidRPr="00465C97" w:rsidRDefault="00A92B70" w:rsidP="00465C97">
            <w:pPr>
              <w:jc w:val="center"/>
              <w:rPr>
                <w:b/>
                <w:bCs/>
              </w:rPr>
            </w:pPr>
          </w:p>
        </w:tc>
      </w:tr>
      <w:tr w:rsidR="00465C97" w14:paraId="76B1E7DF" w14:textId="77777777" w:rsidTr="3AAC1834">
        <w:trPr>
          <w:trHeight w:val="567"/>
        </w:trPr>
        <w:tc>
          <w:tcPr>
            <w:tcW w:w="9062" w:type="dxa"/>
            <w:gridSpan w:val="2"/>
            <w:shd w:val="clear" w:color="auto" w:fill="D9F2D0" w:themeFill="accent6" w:themeFillTint="33"/>
            <w:vAlign w:val="center"/>
          </w:tcPr>
          <w:p w14:paraId="025AF692" w14:textId="64EA5B46" w:rsidR="00465C97" w:rsidRPr="00465C97" w:rsidRDefault="00360978" w:rsidP="00465C97">
            <w:pPr>
              <w:jc w:val="center"/>
              <w:rPr>
                <w:b/>
                <w:bCs/>
              </w:rPr>
            </w:pPr>
            <w:r w:rsidRPr="00360978">
              <w:rPr>
                <w:b/>
                <w:bCs/>
              </w:rPr>
              <w:t>Odpověď zadavatele</w:t>
            </w:r>
          </w:p>
        </w:tc>
      </w:tr>
      <w:tr w:rsidR="00465C97" w14:paraId="6B15575A" w14:textId="77777777" w:rsidTr="3AAC1834">
        <w:trPr>
          <w:trHeight w:val="691"/>
        </w:trPr>
        <w:tc>
          <w:tcPr>
            <w:tcW w:w="9062" w:type="dxa"/>
            <w:gridSpan w:val="2"/>
          </w:tcPr>
          <w:p w14:paraId="56741AB3" w14:textId="63A2FF44" w:rsidR="00A13355" w:rsidRDefault="00A13355" w:rsidP="007D41EB">
            <w:pPr>
              <w:spacing w:before="1" w:line="259" w:lineRule="auto"/>
              <w:ind w:right="25"/>
              <w:jc w:val="both"/>
              <w:rPr>
                <w:rFonts w:ascii="Aptos Narrow" w:hAnsi="Aptos Narrow"/>
                <w:bCs/>
              </w:rPr>
            </w:pPr>
            <w:r w:rsidRPr="00995560">
              <w:rPr>
                <w:rFonts w:ascii="Aptos Narrow" w:hAnsi="Aptos Narrow"/>
                <w:bCs/>
              </w:rPr>
              <w:t xml:space="preserve">Vzhledem k technologickému návrhu biologické linky jako celku, a tím pádem i regeneračních nádrží, trváme na dodržení parametrů navržených dmychadel. Dmychadla jsou navržena pro provoz </w:t>
            </w:r>
            <w:r w:rsidR="00B56102" w:rsidRPr="00995560">
              <w:rPr>
                <w:rFonts w:ascii="Aptos Narrow" w:hAnsi="Aptos Narrow"/>
                <w:bCs/>
              </w:rPr>
              <w:t xml:space="preserve">k zajištění </w:t>
            </w:r>
            <w:r w:rsidRPr="00995560">
              <w:rPr>
                <w:rFonts w:ascii="Aptos Narrow" w:hAnsi="Aptos Narrow"/>
                <w:bCs/>
              </w:rPr>
              <w:t xml:space="preserve">od cca 70 do 115 % </w:t>
            </w:r>
            <w:r w:rsidR="00B56102" w:rsidRPr="00995560">
              <w:rPr>
                <w:rFonts w:ascii="Aptos Narrow" w:hAnsi="Aptos Narrow"/>
                <w:bCs/>
              </w:rPr>
              <w:t xml:space="preserve">potřebného průtoku vzduchu </w:t>
            </w:r>
            <w:r w:rsidRPr="00995560">
              <w:rPr>
                <w:rFonts w:ascii="Aptos Narrow" w:hAnsi="Aptos Narrow"/>
                <w:bCs/>
              </w:rPr>
              <w:t>vzhledem k provozním požadavkům regeneračních nádrží.</w:t>
            </w:r>
          </w:p>
          <w:p w14:paraId="46FF2F5C" w14:textId="77777777" w:rsidR="00D80FD5" w:rsidRPr="00995560" w:rsidRDefault="00D80FD5" w:rsidP="00995560">
            <w:pPr>
              <w:spacing w:before="1" w:line="259" w:lineRule="auto"/>
              <w:ind w:left="116" w:right="25"/>
              <w:jc w:val="both"/>
              <w:rPr>
                <w:rFonts w:ascii="Aptos Narrow" w:hAnsi="Aptos Narrow"/>
                <w:bCs/>
              </w:rPr>
            </w:pPr>
          </w:p>
          <w:p w14:paraId="5CC1D02A" w14:textId="112B1A64" w:rsidR="00895FA5" w:rsidRDefault="00B6213A" w:rsidP="007D41EB">
            <w:pPr>
              <w:spacing w:before="1" w:line="259" w:lineRule="auto"/>
              <w:ind w:right="25"/>
              <w:jc w:val="both"/>
              <w:rPr>
                <w:rFonts w:ascii="Aptos Narrow" w:hAnsi="Aptos Narrow"/>
                <w:bCs/>
              </w:rPr>
            </w:pPr>
            <w:r w:rsidRPr="00995560">
              <w:rPr>
                <w:rFonts w:ascii="Aptos Narrow" w:hAnsi="Aptos Narrow"/>
                <w:bCs/>
              </w:rPr>
              <w:t>Důvodem pro zajištění průtoku vzduchu nad 100% běžné provozní potřeby je</w:t>
            </w:r>
            <w:r w:rsidR="00B614A6" w:rsidRPr="00995560">
              <w:rPr>
                <w:rFonts w:ascii="Aptos Narrow" w:hAnsi="Aptos Narrow"/>
                <w:bCs/>
              </w:rPr>
              <w:t xml:space="preserve"> možnost zajištění záskoku dmychadel při výpadku/servisu některé ze sekcí dmychadel, využití při</w:t>
            </w:r>
            <w:r w:rsidRPr="00995560">
              <w:rPr>
                <w:rFonts w:ascii="Aptos Narrow" w:hAnsi="Aptos Narrow"/>
                <w:bCs/>
              </w:rPr>
              <w:t xml:space="preserve"> čištění aeračního systému</w:t>
            </w:r>
            <w:r w:rsidR="00B614A6" w:rsidRPr="00995560">
              <w:rPr>
                <w:rFonts w:ascii="Aptos Narrow" w:hAnsi="Aptos Narrow"/>
                <w:bCs/>
              </w:rPr>
              <w:t xml:space="preserve"> či </w:t>
            </w:r>
            <w:r w:rsidRPr="00995560">
              <w:rPr>
                <w:rFonts w:ascii="Aptos Narrow" w:hAnsi="Aptos Narrow"/>
                <w:bCs/>
              </w:rPr>
              <w:t>zajištění správné funkce systému při náhlém zvýšení znečištění</w:t>
            </w:r>
            <w:r w:rsidR="00B614A6" w:rsidRPr="00995560">
              <w:rPr>
                <w:rFonts w:ascii="Aptos Narrow" w:hAnsi="Aptos Narrow"/>
                <w:bCs/>
              </w:rPr>
              <w:t>.</w:t>
            </w:r>
            <w:r w:rsidRPr="00995560">
              <w:rPr>
                <w:rFonts w:ascii="Aptos Narrow" w:hAnsi="Aptos Narrow"/>
                <w:bCs/>
              </w:rPr>
              <w:t xml:space="preserve">  </w:t>
            </w:r>
          </w:p>
          <w:p w14:paraId="1BA369EC" w14:textId="77777777" w:rsidR="00D80FD5" w:rsidRPr="00995560" w:rsidRDefault="00D80FD5" w:rsidP="007D41EB">
            <w:pPr>
              <w:spacing w:before="1" w:line="259" w:lineRule="auto"/>
              <w:ind w:right="25"/>
              <w:jc w:val="both"/>
              <w:rPr>
                <w:rFonts w:ascii="Aptos Narrow" w:hAnsi="Aptos Narrow"/>
                <w:bCs/>
              </w:rPr>
            </w:pPr>
          </w:p>
          <w:p w14:paraId="142D5979" w14:textId="3B124702" w:rsidR="00B614A6" w:rsidRPr="00995560" w:rsidRDefault="00B614A6" w:rsidP="007D41EB">
            <w:pPr>
              <w:spacing w:before="1" w:line="259" w:lineRule="auto"/>
              <w:ind w:right="25"/>
              <w:jc w:val="both"/>
              <w:rPr>
                <w:rFonts w:ascii="Aptos Narrow" w:hAnsi="Aptos Narrow"/>
                <w:bCs/>
              </w:rPr>
            </w:pPr>
            <w:r w:rsidRPr="00995560">
              <w:rPr>
                <w:rFonts w:ascii="Aptos Narrow" w:hAnsi="Aptos Narrow"/>
                <w:bCs/>
              </w:rPr>
              <w:t>Ze shora uvedených důvodů zadavatel trvá na technickém řešení dle specifikace.</w:t>
            </w:r>
          </w:p>
          <w:p w14:paraId="59D0E22C" w14:textId="085C2182" w:rsidR="15AB2DAA" w:rsidRPr="00995560" w:rsidRDefault="15AB2DAA" w:rsidP="00995560">
            <w:pPr>
              <w:spacing w:line="0" w:lineRule="atLeast"/>
              <w:ind w:right="25"/>
              <w:rPr>
                <w:rFonts w:ascii="Arial"/>
                <w:sz w:val="2"/>
                <w:szCs w:val="2"/>
              </w:rPr>
            </w:pPr>
          </w:p>
          <w:p w14:paraId="4F5DBD2F" w14:textId="1F5B44B3" w:rsidR="15AB2DAA" w:rsidRDefault="15AB2DAA" w:rsidP="15AB2DAA">
            <w:pPr>
              <w:spacing w:line="0" w:lineRule="atLeast"/>
              <w:rPr>
                <w:rFonts w:ascii="Arial"/>
                <w:color w:val="FF0000"/>
                <w:sz w:val="2"/>
                <w:szCs w:val="2"/>
              </w:rPr>
            </w:pPr>
          </w:p>
          <w:p w14:paraId="25849A04" w14:textId="77777777" w:rsidR="00987603" w:rsidRPr="00DD398C" w:rsidRDefault="00987603" w:rsidP="15AB2DAA">
            <w:pPr>
              <w:spacing w:line="0" w:lineRule="atLeast"/>
              <w:rPr>
                <w:rFonts w:ascii="Arial"/>
                <w:color w:val="FF0000"/>
                <w:sz w:val="2"/>
                <w:szCs w:val="2"/>
              </w:rPr>
            </w:pPr>
            <w:r w:rsidRPr="00DD398C">
              <w:rPr>
                <w:rFonts w:ascii="Arial"/>
                <w:color w:val="FF0000"/>
                <w:sz w:val="2"/>
              </w:rPr>
              <w:cr/>
            </w:r>
            <w:r w:rsidRPr="15AB2DAA">
              <w:rPr>
                <w:rFonts w:ascii="Arial"/>
                <w:color w:val="FF0000"/>
                <w:sz w:val="2"/>
                <w:szCs w:val="2"/>
              </w:rPr>
              <w:br w:type="page"/>
            </w:r>
          </w:p>
        </w:tc>
      </w:tr>
      <w:tr w:rsidR="00465C97" w14:paraId="2972FBC8" w14:textId="77777777" w:rsidTr="00525A35">
        <w:trPr>
          <w:trHeight w:val="567"/>
        </w:trPr>
        <w:tc>
          <w:tcPr>
            <w:tcW w:w="2405" w:type="dxa"/>
            <w:shd w:val="clear" w:color="auto" w:fill="D9F2D0" w:themeFill="accent6" w:themeFillTint="33"/>
            <w:vAlign w:val="center"/>
          </w:tcPr>
          <w:p w14:paraId="28E26CBF" w14:textId="48094B30" w:rsidR="00465C97" w:rsidRPr="00A92B70" w:rsidRDefault="00465C97" w:rsidP="00465C97">
            <w:pPr>
              <w:rPr>
                <w:b/>
                <w:bCs/>
                <w:sz w:val="20"/>
                <w:szCs w:val="20"/>
              </w:rPr>
            </w:pPr>
            <w:r w:rsidRPr="00A92B70">
              <w:rPr>
                <w:b/>
                <w:bCs/>
                <w:sz w:val="20"/>
                <w:szCs w:val="20"/>
              </w:rPr>
              <w:t>Revize Projektové dokumentace</w:t>
            </w:r>
          </w:p>
        </w:tc>
        <w:tc>
          <w:tcPr>
            <w:tcW w:w="6657" w:type="dxa"/>
            <w:vAlign w:val="center"/>
          </w:tcPr>
          <w:p w14:paraId="4ED701F5" w14:textId="0D0E9020" w:rsidR="00465C97" w:rsidRPr="00A92B70" w:rsidRDefault="00360978" w:rsidP="00A92B70">
            <w:pPr>
              <w:rPr>
                <w:sz w:val="18"/>
                <w:szCs w:val="18"/>
              </w:rPr>
            </w:pPr>
            <w:r>
              <w:rPr>
                <w:sz w:val="18"/>
                <w:szCs w:val="18"/>
              </w:rPr>
              <w:t>NE</w:t>
            </w:r>
          </w:p>
        </w:tc>
      </w:tr>
      <w:tr w:rsidR="00465C97" w14:paraId="725C6F24" w14:textId="77777777" w:rsidTr="00525A35">
        <w:trPr>
          <w:trHeight w:val="567"/>
        </w:trPr>
        <w:tc>
          <w:tcPr>
            <w:tcW w:w="2405" w:type="dxa"/>
            <w:tcBorders>
              <w:bottom w:val="single" w:sz="4" w:space="0" w:color="auto"/>
            </w:tcBorders>
            <w:shd w:val="clear" w:color="auto" w:fill="D9F2D0" w:themeFill="accent6" w:themeFillTint="33"/>
            <w:vAlign w:val="center"/>
          </w:tcPr>
          <w:p w14:paraId="3E8962A6" w14:textId="6B6426D6" w:rsidR="00465C97" w:rsidRPr="00A92B70" w:rsidRDefault="00465C97" w:rsidP="00465C97">
            <w:pPr>
              <w:rPr>
                <w:b/>
                <w:bCs/>
                <w:sz w:val="20"/>
                <w:szCs w:val="20"/>
              </w:rPr>
            </w:pPr>
            <w:r w:rsidRPr="00A92B70">
              <w:rPr>
                <w:b/>
                <w:bCs/>
                <w:sz w:val="20"/>
                <w:szCs w:val="20"/>
              </w:rPr>
              <w:t>Revize SPSVV</w:t>
            </w:r>
          </w:p>
        </w:tc>
        <w:tc>
          <w:tcPr>
            <w:tcW w:w="6657" w:type="dxa"/>
            <w:tcBorders>
              <w:bottom w:val="single" w:sz="4" w:space="0" w:color="auto"/>
            </w:tcBorders>
            <w:vAlign w:val="center"/>
          </w:tcPr>
          <w:p w14:paraId="752A49C1" w14:textId="7D240629" w:rsidR="00465C97" w:rsidRPr="00A92B70" w:rsidRDefault="00360978" w:rsidP="00A92B70">
            <w:pPr>
              <w:rPr>
                <w:sz w:val="18"/>
                <w:szCs w:val="18"/>
              </w:rPr>
            </w:pPr>
            <w:r>
              <w:rPr>
                <w:sz w:val="18"/>
                <w:szCs w:val="18"/>
              </w:rPr>
              <w:t>NE</w:t>
            </w:r>
          </w:p>
        </w:tc>
      </w:tr>
    </w:tbl>
    <w:p w14:paraId="4550806C" w14:textId="51A21524" w:rsidR="00A92B70" w:rsidRDefault="00A92B70" w:rsidP="00D80FD5"/>
    <w:sectPr w:rsidR="00A92B70">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F6242" w14:textId="77777777" w:rsidR="00B1420E" w:rsidRDefault="00B1420E" w:rsidP="00A92B70">
      <w:pPr>
        <w:spacing w:after="0" w:line="240" w:lineRule="auto"/>
      </w:pPr>
      <w:r>
        <w:separator/>
      </w:r>
    </w:p>
  </w:endnote>
  <w:endnote w:type="continuationSeparator" w:id="0">
    <w:p w14:paraId="54A38391" w14:textId="77777777" w:rsidR="00B1420E" w:rsidRDefault="00B1420E" w:rsidP="00A92B70">
      <w:pPr>
        <w:spacing w:after="0" w:line="240" w:lineRule="auto"/>
      </w:pPr>
      <w:r>
        <w:continuationSeparator/>
      </w:r>
    </w:p>
  </w:endnote>
  <w:endnote w:type="continuationNotice" w:id="1">
    <w:p w14:paraId="04D7B510" w14:textId="77777777" w:rsidR="00B1420E" w:rsidRDefault="00B142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 w:name="Aptos Narrow">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51136714"/>
      <w:docPartObj>
        <w:docPartGallery w:val="Page Numbers (Bottom of Page)"/>
        <w:docPartUnique/>
      </w:docPartObj>
    </w:sdtPr>
    <w:sdtEndPr>
      <w:rPr>
        <w:sz w:val="18"/>
        <w:szCs w:val="18"/>
      </w:rPr>
    </w:sdtEndPr>
    <w:sdtContent>
      <w:sdt>
        <w:sdtPr>
          <w:rPr>
            <w:sz w:val="18"/>
            <w:szCs w:val="18"/>
          </w:rPr>
          <w:id w:val="1728636285"/>
          <w:docPartObj>
            <w:docPartGallery w:val="Page Numbers (Top of Page)"/>
            <w:docPartUnique/>
          </w:docPartObj>
        </w:sdtPr>
        <w:sdtContent>
          <w:p w14:paraId="6F46243C" w14:textId="37D4A237" w:rsidR="00A92B70" w:rsidRPr="00A92B70" w:rsidRDefault="00A92B70">
            <w:pPr>
              <w:pStyle w:val="Footer"/>
              <w:jc w:val="center"/>
              <w:rPr>
                <w:sz w:val="18"/>
                <w:szCs w:val="18"/>
              </w:rPr>
            </w:pPr>
            <w:r w:rsidRPr="00A92B70">
              <w:rPr>
                <w:sz w:val="18"/>
                <w:szCs w:val="18"/>
              </w:rPr>
              <w:t xml:space="preserve">Stránka </w:t>
            </w:r>
            <w:r w:rsidRPr="00A92B70">
              <w:rPr>
                <w:b/>
                <w:bCs/>
                <w:sz w:val="18"/>
                <w:szCs w:val="18"/>
              </w:rPr>
              <w:fldChar w:fldCharType="begin"/>
            </w:r>
            <w:r w:rsidRPr="00A92B70">
              <w:rPr>
                <w:b/>
                <w:bCs/>
                <w:sz w:val="18"/>
                <w:szCs w:val="18"/>
              </w:rPr>
              <w:instrText>PAGE</w:instrText>
            </w:r>
            <w:r w:rsidRPr="00A92B70">
              <w:rPr>
                <w:b/>
                <w:bCs/>
                <w:sz w:val="18"/>
                <w:szCs w:val="18"/>
              </w:rPr>
              <w:fldChar w:fldCharType="separate"/>
            </w:r>
            <w:r w:rsidRPr="00A92B70">
              <w:rPr>
                <w:b/>
                <w:bCs/>
                <w:sz w:val="18"/>
                <w:szCs w:val="18"/>
              </w:rPr>
              <w:t>2</w:t>
            </w:r>
            <w:r w:rsidRPr="00A92B70">
              <w:rPr>
                <w:b/>
                <w:bCs/>
                <w:sz w:val="18"/>
                <w:szCs w:val="18"/>
              </w:rPr>
              <w:fldChar w:fldCharType="end"/>
            </w:r>
            <w:r w:rsidRPr="00A92B70">
              <w:rPr>
                <w:sz w:val="18"/>
                <w:szCs w:val="18"/>
              </w:rPr>
              <w:t xml:space="preserve"> z </w:t>
            </w:r>
            <w:r w:rsidRPr="00A92B70">
              <w:rPr>
                <w:b/>
                <w:bCs/>
                <w:sz w:val="18"/>
                <w:szCs w:val="18"/>
              </w:rPr>
              <w:fldChar w:fldCharType="begin"/>
            </w:r>
            <w:r w:rsidRPr="00A92B70">
              <w:rPr>
                <w:b/>
                <w:bCs/>
                <w:sz w:val="18"/>
                <w:szCs w:val="18"/>
              </w:rPr>
              <w:instrText>NUMPAGES</w:instrText>
            </w:r>
            <w:r w:rsidRPr="00A92B70">
              <w:rPr>
                <w:b/>
                <w:bCs/>
                <w:sz w:val="18"/>
                <w:szCs w:val="18"/>
              </w:rPr>
              <w:fldChar w:fldCharType="separate"/>
            </w:r>
            <w:r w:rsidRPr="00A92B70">
              <w:rPr>
                <w:b/>
                <w:bCs/>
                <w:sz w:val="18"/>
                <w:szCs w:val="18"/>
              </w:rPr>
              <w:t>2</w:t>
            </w:r>
            <w:r w:rsidRPr="00A92B70">
              <w:rPr>
                <w:b/>
                <w:bCs/>
                <w:sz w:val="18"/>
                <w:szCs w:val="18"/>
              </w:rPr>
              <w:fldChar w:fldCharType="end"/>
            </w:r>
          </w:p>
        </w:sdtContent>
      </w:sdt>
    </w:sdtContent>
  </w:sdt>
  <w:p w14:paraId="7486677C" w14:textId="77777777" w:rsidR="00A92B70" w:rsidRDefault="00A92B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B0B21" w14:textId="77777777" w:rsidR="00B1420E" w:rsidRDefault="00B1420E" w:rsidP="00A92B70">
      <w:pPr>
        <w:spacing w:after="0" w:line="240" w:lineRule="auto"/>
      </w:pPr>
      <w:r>
        <w:separator/>
      </w:r>
    </w:p>
  </w:footnote>
  <w:footnote w:type="continuationSeparator" w:id="0">
    <w:p w14:paraId="64D38AD9" w14:textId="77777777" w:rsidR="00B1420E" w:rsidRDefault="00B1420E" w:rsidP="00A92B70">
      <w:pPr>
        <w:spacing w:after="0" w:line="240" w:lineRule="auto"/>
      </w:pPr>
      <w:r>
        <w:continuationSeparator/>
      </w:r>
    </w:p>
  </w:footnote>
  <w:footnote w:type="continuationNotice" w:id="1">
    <w:p w14:paraId="06665771" w14:textId="77777777" w:rsidR="00B1420E" w:rsidRDefault="00B142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E484E" w14:textId="77777777" w:rsidR="00A92B70" w:rsidRDefault="00A92B70" w:rsidP="00A92B70">
    <w:pPr>
      <w:pStyle w:val="Header"/>
      <w:jc w:val="center"/>
      <w:rPr>
        <w:b/>
        <w:bCs/>
      </w:rPr>
    </w:pPr>
    <w:r w:rsidRPr="00A92B70">
      <w:rPr>
        <w:b/>
        <w:bCs/>
      </w:rPr>
      <w:t xml:space="preserve">Stavba č. 6963 „Celková přestavba a rozšíření ÚČOV na Císařském ostrově, </w:t>
    </w:r>
  </w:p>
  <w:p w14:paraId="7742134E" w14:textId="53DEAEA1" w:rsidR="00A92B70" w:rsidRDefault="00A92B70" w:rsidP="00A92B70">
    <w:pPr>
      <w:pStyle w:val="Header"/>
      <w:jc w:val="center"/>
    </w:pPr>
    <w:r w:rsidRPr="00A92B70">
      <w:rPr>
        <w:b/>
        <w:bCs/>
      </w:rPr>
      <w:t>etapa 0002 - stávající vodní linka“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57DB3"/>
    <w:multiLevelType w:val="hybridMultilevel"/>
    <w:tmpl w:val="149025DC"/>
    <w:lvl w:ilvl="0" w:tplc="E154F5BA">
      <w:start w:val="1"/>
      <w:numFmt w:val="decimal"/>
      <w:lvlText w:val="%1)"/>
      <w:lvlJc w:val="left"/>
      <w:pPr>
        <w:ind w:left="836" w:hanging="360"/>
      </w:pPr>
      <w:rPr>
        <w:rFonts w:ascii="Calibri" w:eastAsia="Calibri" w:hAnsi="Calibri" w:cs="Calibri" w:hint="default"/>
        <w:b w:val="0"/>
        <w:bCs w:val="0"/>
        <w:i w:val="0"/>
        <w:iCs w:val="0"/>
        <w:spacing w:val="0"/>
        <w:w w:val="100"/>
        <w:sz w:val="22"/>
        <w:szCs w:val="22"/>
        <w:lang w:val="cs-CZ" w:eastAsia="en-US" w:bidi="ar-SA"/>
      </w:rPr>
    </w:lvl>
    <w:lvl w:ilvl="1" w:tplc="7924CF74">
      <w:numFmt w:val="bullet"/>
      <w:lvlText w:val="•"/>
      <w:lvlJc w:val="left"/>
      <w:pPr>
        <w:ind w:left="1800" w:hanging="360"/>
      </w:pPr>
      <w:rPr>
        <w:rFonts w:hint="default"/>
        <w:lang w:val="cs-CZ" w:eastAsia="en-US" w:bidi="ar-SA"/>
      </w:rPr>
    </w:lvl>
    <w:lvl w:ilvl="2" w:tplc="178E16D4">
      <w:numFmt w:val="bullet"/>
      <w:lvlText w:val="•"/>
      <w:lvlJc w:val="left"/>
      <w:pPr>
        <w:ind w:left="2761" w:hanging="360"/>
      </w:pPr>
      <w:rPr>
        <w:rFonts w:hint="default"/>
        <w:lang w:val="cs-CZ" w:eastAsia="en-US" w:bidi="ar-SA"/>
      </w:rPr>
    </w:lvl>
    <w:lvl w:ilvl="3" w:tplc="4B069140">
      <w:numFmt w:val="bullet"/>
      <w:lvlText w:val="•"/>
      <w:lvlJc w:val="left"/>
      <w:pPr>
        <w:ind w:left="3721" w:hanging="360"/>
      </w:pPr>
      <w:rPr>
        <w:rFonts w:hint="default"/>
        <w:lang w:val="cs-CZ" w:eastAsia="en-US" w:bidi="ar-SA"/>
      </w:rPr>
    </w:lvl>
    <w:lvl w:ilvl="4" w:tplc="D58C0F72">
      <w:numFmt w:val="bullet"/>
      <w:lvlText w:val="•"/>
      <w:lvlJc w:val="left"/>
      <w:pPr>
        <w:ind w:left="4682" w:hanging="360"/>
      </w:pPr>
      <w:rPr>
        <w:rFonts w:hint="default"/>
        <w:lang w:val="cs-CZ" w:eastAsia="en-US" w:bidi="ar-SA"/>
      </w:rPr>
    </w:lvl>
    <w:lvl w:ilvl="5" w:tplc="C7D85012">
      <w:numFmt w:val="bullet"/>
      <w:lvlText w:val="•"/>
      <w:lvlJc w:val="left"/>
      <w:pPr>
        <w:ind w:left="5643" w:hanging="360"/>
      </w:pPr>
      <w:rPr>
        <w:rFonts w:hint="default"/>
        <w:lang w:val="cs-CZ" w:eastAsia="en-US" w:bidi="ar-SA"/>
      </w:rPr>
    </w:lvl>
    <w:lvl w:ilvl="6" w:tplc="31B0B91A">
      <w:numFmt w:val="bullet"/>
      <w:lvlText w:val="•"/>
      <w:lvlJc w:val="left"/>
      <w:pPr>
        <w:ind w:left="6603" w:hanging="360"/>
      </w:pPr>
      <w:rPr>
        <w:rFonts w:hint="default"/>
        <w:lang w:val="cs-CZ" w:eastAsia="en-US" w:bidi="ar-SA"/>
      </w:rPr>
    </w:lvl>
    <w:lvl w:ilvl="7" w:tplc="D3A60824">
      <w:numFmt w:val="bullet"/>
      <w:lvlText w:val="•"/>
      <w:lvlJc w:val="left"/>
      <w:pPr>
        <w:ind w:left="7564" w:hanging="360"/>
      </w:pPr>
      <w:rPr>
        <w:rFonts w:hint="default"/>
        <w:lang w:val="cs-CZ" w:eastAsia="en-US" w:bidi="ar-SA"/>
      </w:rPr>
    </w:lvl>
    <w:lvl w:ilvl="8" w:tplc="D0365B0C">
      <w:numFmt w:val="bullet"/>
      <w:lvlText w:val="•"/>
      <w:lvlJc w:val="left"/>
      <w:pPr>
        <w:ind w:left="8525" w:hanging="360"/>
      </w:pPr>
      <w:rPr>
        <w:rFonts w:hint="default"/>
        <w:lang w:val="cs-CZ" w:eastAsia="en-US" w:bidi="ar-SA"/>
      </w:rPr>
    </w:lvl>
  </w:abstractNum>
  <w:abstractNum w:abstractNumId="1" w15:restartNumberingAfterBreak="0">
    <w:nsid w:val="2CAF6922"/>
    <w:multiLevelType w:val="hybridMultilevel"/>
    <w:tmpl w:val="FE083D6A"/>
    <w:lvl w:ilvl="0" w:tplc="04050011">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DB365CB"/>
    <w:multiLevelType w:val="multilevel"/>
    <w:tmpl w:val="EC785B34"/>
    <w:lvl w:ilvl="0">
      <w:start w:val="3"/>
      <w:numFmt w:val="decimal"/>
      <w:lvlText w:val="%1"/>
      <w:lvlJc w:val="left"/>
      <w:pPr>
        <w:ind w:left="668" w:hanging="552"/>
      </w:pPr>
      <w:rPr>
        <w:rFonts w:hint="default"/>
        <w:lang w:val="cs-CZ" w:eastAsia="en-US" w:bidi="ar-SA"/>
      </w:rPr>
    </w:lvl>
    <w:lvl w:ilvl="1">
      <w:start w:val="2"/>
      <w:numFmt w:val="decimal"/>
      <w:lvlText w:val="%1.%2"/>
      <w:lvlJc w:val="left"/>
      <w:pPr>
        <w:ind w:left="668" w:hanging="552"/>
      </w:pPr>
      <w:rPr>
        <w:rFonts w:hint="default"/>
        <w:lang w:val="cs-CZ" w:eastAsia="en-US" w:bidi="ar-SA"/>
      </w:rPr>
    </w:lvl>
    <w:lvl w:ilvl="2">
      <w:start w:val="1"/>
      <w:numFmt w:val="decimal"/>
      <w:lvlText w:val="%1.%2.%3"/>
      <w:lvlJc w:val="left"/>
      <w:pPr>
        <w:ind w:left="668" w:hanging="552"/>
      </w:pPr>
      <w:rPr>
        <w:rFonts w:ascii="Arial" w:eastAsia="Arial" w:hAnsi="Arial" w:cs="Arial" w:hint="default"/>
        <w:b/>
        <w:bCs/>
        <w:i w:val="0"/>
        <w:iCs w:val="0"/>
        <w:spacing w:val="0"/>
        <w:w w:val="100"/>
        <w:sz w:val="22"/>
        <w:szCs w:val="22"/>
        <w:lang w:val="cs-CZ" w:eastAsia="en-US" w:bidi="ar-SA"/>
      </w:rPr>
    </w:lvl>
    <w:lvl w:ilvl="3">
      <w:numFmt w:val="bullet"/>
      <w:lvlText w:val="•"/>
      <w:lvlJc w:val="left"/>
      <w:pPr>
        <w:ind w:left="3595" w:hanging="552"/>
      </w:pPr>
      <w:rPr>
        <w:rFonts w:hint="default"/>
        <w:lang w:val="cs-CZ" w:eastAsia="en-US" w:bidi="ar-SA"/>
      </w:rPr>
    </w:lvl>
    <w:lvl w:ilvl="4">
      <w:numFmt w:val="bullet"/>
      <w:lvlText w:val="•"/>
      <w:lvlJc w:val="left"/>
      <w:pPr>
        <w:ind w:left="4574" w:hanging="552"/>
      </w:pPr>
      <w:rPr>
        <w:rFonts w:hint="default"/>
        <w:lang w:val="cs-CZ" w:eastAsia="en-US" w:bidi="ar-SA"/>
      </w:rPr>
    </w:lvl>
    <w:lvl w:ilvl="5">
      <w:numFmt w:val="bullet"/>
      <w:lvlText w:val="•"/>
      <w:lvlJc w:val="left"/>
      <w:pPr>
        <w:ind w:left="5553" w:hanging="552"/>
      </w:pPr>
      <w:rPr>
        <w:rFonts w:hint="default"/>
        <w:lang w:val="cs-CZ" w:eastAsia="en-US" w:bidi="ar-SA"/>
      </w:rPr>
    </w:lvl>
    <w:lvl w:ilvl="6">
      <w:numFmt w:val="bullet"/>
      <w:lvlText w:val="•"/>
      <w:lvlJc w:val="left"/>
      <w:pPr>
        <w:ind w:left="6531" w:hanging="552"/>
      </w:pPr>
      <w:rPr>
        <w:rFonts w:hint="default"/>
        <w:lang w:val="cs-CZ" w:eastAsia="en-US" w:bidi="ar-SA"/>
      </w:rPr>
    </w:lvl>
    <w:lvl w:ilvl="7">
      <w:numFmt w:val="bullet"/>
      <w:lvlText w:val="•"/>
      <w:lvlJc w:val="left"/>
      <w:pPr>
        <w:ind w:left="7510" w:hanging="552"/>
      </w:pPr>
      <w:rPr>
        <w:rFonts w:hint="default"/>
        <w:lang w:val="cs-CZ" w:eastAsia="en-US" w:bidi="ar-SA"/>
      </w:rPr>
    </w:lvl>
    <w:lvl w:ilvl="8">
      <w:numFmt w:val="bullet"/>
      <w:lvlText w:val="•"/>
      <w:lvlJc w:val="left"/>
      <w:pPr>
        <w:ind w:left="8489" w:hanging="552"/>
      </w:pPr>
      <w:rPr>
        <w:rFonts w:hint="default"/>
        <w:lang w:val="cs-CZ" w:eastAsia="en-US" w:bidi="ar-SA"/>
      </w:rPr>
    </w:lvl>
  </w:abstractNum>
  <w:abstractNum w:abstractNumId="3" w15:restartNumberingAfterBreak="0">
    <w:nsid w:val="70DB4697"/>
    <w:multiLevelType w:val="hybridMultilevel"/>
    <w:tmpl w:val="FC9CBA0C"/>
    <w:lvl w:ilvl="0" w:tplc="5808B8F4">
      <w:start w:val="1"/>
      <w:numFmt w:val="decimal"/>
      <w:lvlText w:val="%1)"/>
      <w:lvlJc w:val="left"/>
      <w:pPr>
        <w:ind w:left="476" w:hanging="360"/>
      </w:pPr>
      <w:rPr>
        <w:rFonts w:hint="default"/>
      </w:rPr>
    </w:lvl>
    <w:lvl w:ilvl="1" w:tplc="04050019" w:tentative="1">
      <w:start w:val="1"/>
      <w:numFmt w:val="lowerLetter"/>
      <w:lvlText w:val="%2."/>
      <w:lvlJc w:val="left"/>
      <w:pPr>
        <w:ind w:left="1196" w:hanging="360"/>
      </w:pPr>
    </w:lvl>
    <w:lvl w:ilvl="2" w:tplc="0405001B" w:tentative="1">
      <w:start w:val="1"/>
      <w:numFmt w:val="lowerRoman"/>
      <w:lvlText w:val="%3."/>
      <w:lvlJc w:val="right"/>
      <w:pPr>
        <w:ind w:left="1916" w:hanging="180"/>
      </w:pPr>
    </w:lvl>
    <w:lvl w:ilvl="3" w:tplc="0405000F" w:tentative="1">
      <w:start w:val="1"/>
      <w:numFmt w:val="decimal"/>
      <w:lvlText w:val="%4."/>
      <w:lvlJc w:val="left"/>
      <w:pPr>
        <w:ind w:left="2636" w:hanging="360"/>
      </w:pPr>
    </w:lvl>
    <w:lvl w:ilvl="4" w:tplc="04050019" w:tentative="1">
      <w:start w:val="1"/>
      <w:numFmt w:val="lowerLetter"/>
      <w:lvlText w:val="%5."/>
      <w:lvlJc w:val="left"/>
      <w:pPr>
        <w:ind w:left="3356" w:hanging="360"/>
      </w:pPr>
    </w:lvl>
    <w:lvl w:ilvl="5" w:tplc="0405001B" w:tentative="1">
      <w:start w:val="1"/>
      <w:numFmt w:val="lowerRoman"/>
      <w:lvlText w:val="%6."/>
      <w:lvlJc w:val="right"/>
      <w:pPr>
        <w:ind w:left="4076" w:hanging="180"/>
      </w:pPr>
    </w:lvl>
    <w:lvl w:ilvl="6" w:tplc="0405000F" w:tentative="1">
      <w:start w:val="1"/>
      <w:numFmt w:val="decimal"/>
      <w:lvlText w:val="%7."/>
      <w:lvlJc w:val="left"/>
      <w:pPr>
        <w:ind w:left="4796" w:hanging="360"/>
      </w:pPr>
    </w:lvl>
    <w:lvl w:ilvl="7" w:tplc="04050019" w:tentative="1">
      <w:start w:val="1"/>
      <w:numFmt w:val="lowerLetter"/>
      <w:lvlText w:val="%8."/>
      <w:lvlJc w:val="left"/>
      <w:pPr>
        <w:ind w:left="5516" w:hanging="360"/>
      </w:pPr>
    </w:lvl>
    <w:lvl w:ilvl="8" w:tplc="0405001B" w:tentative="1">
      <w:start w:val="1"/>
      <w:numFmt w:val="lowerRoman"/>
      <w:lvlText w:val="%9."/>
      <w:lvlJc w:val="right"/>
      <w:pPr>
        <w:ind w:left="6236" w:hanging="180"/>
      </w:pPr>
    </w:lvl>
  </w:abstractNum>
  <w:num w:numId="1" w16cid:durableId="1973634022">
    <w:abstractNumId w:val="2"/>
  </w:num>
  <w:num w:numId="2" w16cid:durableId="974406071">
    <w:abstractNumId w:val="0"/>
  </w:num>
  <w:num w:numId="3" w16cid:durableId="943000182">
    <w:abstractNumId w:val="1"/>
  </w:num>
  <w:num w:numId="4" w16cid:durableId="4113969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97"/>
    <w:rsid w:val="0000091A"/>
    <w:rsid w:val="00017329"/>
    <w:rsid w:val="000238EB"/>
    <w:rsid w:val="00025F4B"/>
    <w:rsid w:val="0002689E"/>
    <w:rsid w:val="000315B5"/>
    <w:rsid w:val="000355BB"/>
    <w:rsid w:val="00041479"/>
    <w:rsid w:val="00051000"/>
    <w:rsid w:val="00060103"/>
    <w:rsid w:val="00075B32"/>
    <w:rsid w:val="00077F40"/>
    <w:rsid w:val="000836D3"/>
    <w:rsid w:val="00090049"/>
    <w:rsid w:val="00092E34"/>
    <w:rsid w:val="000A1E07"/>
    <w:rsid w:val="000D4DC8"/>
    <w:rsid w:val="000E0224"/>
    <w:rsid w:val="000E11AB"/>
    <w:rsid w:val="000F548A"/>
    <w:rsid w:val="000F55BD"/>
    <w:rsid w:val="001121FD"/>
    <w:rsid w:val="001241F5"/>
    <w:rsid w:val="001252E6"/>
    <w:rsid w:val="00125BFC"/>
    <w:rsid w:val="00126208"/>
    <w:rsid w:val="001305F0"/>
    <w:rsid w:val="0014282C"/>
    <w:rsid w:val="001476B1"/>
    <w:rsid w:val="0015066C"/>
    <w:rsid w:val="001539D9"/>
    <w:rsid w:val="00155902"/>
    <w:rsid w:val="00156D94"/>
    <w:rsid w:val="001649DF"/>
    <w:rsid w:val="0017188A"/>
    <w:rsid w:val="00174010"/>
    <w:rsid w:val="00184ADC"/>
    <w:rsid w:val="00187894"/>
    <w:rsid w:val="00191E1D"/>
    <w:rsid w:val="001A5271"/>
    <w:rsid w:val="001C110D"/>
    <w:rsid w:val="001C5202"/>
    <w:rsid w:val="001D1A0E"/>
    <w:rsid w:val="001E1ED4"/>
    <w:rsid w:val="001E299F"/>
    <w:rsid w:val="001F3665"/>
    <w:rsid w:val="001F6292"/>
    <w:rsid w:val="00201BFB"/>
    <w:rsid w:val="00203560"/>
    <w:rsid w:val="0020736D"/>
    <w:rsid w:val="002073E4"/>
    <w:rsid w:val="00210096"/>
    <w:rsid w:val="00214929"/>
    <w:rsid w:val="00214ECD"/>
    <w:rsid w:val="002207B3"/>
    <w:rsid w:val="00230474"/>
    <w:rsid w:val="00230B4B"/>
    <w:rsid w:val="002529A2"/>
    <w:rsid w:val="0025304E"/>
    <w:rsid w:val="002772D3"/>
    <w:rsid w:val="00290D87"/>
    <w:rsid w:val="00293F18"/>
    <w:rsid w:val="0029432B"/>
    <w:rsid w:val="00294BEA"/>
    <w:rsid w:val="002A0D78"/>
    <w:rsid w:val="002A0FE3"/>
    <w:rsid w:val="002A7B72"/>
    <w:rsid w:val="002B1D2A"/>
    <w:rsid w:val="002C715A"/>
    <w:rsid w:val="002D0637"/>
    <w:rsid w:val="002F59A4"/>
    <w:rsid w:val="00303C60"/>
    <w:rsid w:val="00304EB6"/>
    <w:rsid w:val="00307BFA"/>
    <w:rsid w:val="00312A67"/>
    <w:rsid w:val="0031382C"/>
    <w:rsid w:val="003151C6"/>
    <w:rsid w:val="00320056"/>
    <w:rsid w:val="003224D1"/>
    <w:rsid w:val="00325D8E"/>
    <w:rsid w:val="003330DA"/>
    <w:rsid w:val="00343FB0"/>
    <w:rsid w:val="0034558B"/>
    <w:rsid w:val="00355BCA"/>
    <w:rsid w:val="0035672E"/>
    <w:rsid w:val="00360978"/>
    <w:rsid w:val="003773E9"/>
    <w:rsid w:val="00380B8F"/>
    <w:rsid w:val="00382E19"/>
    <w:rsid w:val="00383489"/>
    <w:rsid w:val="003937CE"/>
    <w:rsid w:val="003A7427"/>
    <w:rsid w:val="003C59FE"/>
    <w:rsid w:val="003D78CC"/>
    <w:rsid w:val="003E143D"/>
    <w:rsid w:val="003F5027"/>
    <w:rsid w:val="003F7D2E"/>
    <w:rsid w:val="004029FC"/>
    <w:rsid w:val="004146D8"/>
    <w:rsid w:val="0042190C"/>
    <w:rsid w:val="00422480"/>
    <w:rsid w:val="00423944"/>
    <w:rsid w:val="0043002C"/>
    <w:rsid w:val="004308E6"/>
    <w:rsid w:val="00434446"/>
    <w:rsid w:val="00440813"/>
    <w:rsid w:val="0046190B"/>
    <w:rsid w:val="00465C97"/>
    <w:rsid w:val="00471D00"/>
    <w:rsid w:val="00476654"/>
    <w:rsid w:val="00476CC0"/>
    <w:rsid w:val="004A0D55"/>
    <w:rsid w:val="004B210A"/>
    <w:rsid w:val="004B49B0"/>
    <w:rsid w:val="004B7A8F"/>
    <w:rsid w:val="004C1C4E"/>
    <w:rsid w:val="004C7FF8"/>
    <w:rsid w:val="004D2472"/>
    <w:rsid w:val="004D331C"/>
    <w:rsid w:val="004D3E75"/>
    <w:rsid w:val="004E62CC"/>
    <w:rsid w:val="004E6676"/>
    <w:rsid w:val="004F12A6"/>
    <w:rsid w:val="004F1AED"/>
    <w:rsid w:val="005046F7"/>
    <w:rsid w:val="00511B6E"/>
    <w:rsid w:val="00512210"/>
    <w:rsid w:val="00513B8D"/>
    <w:rsid w:val="005145BD"/>
    <w:rsid w:val="00516A2C"/>
    <w:rsid w:val="0051753F"/>
    <w:rsid w:val="00520322"/>
    <w:rsid w:val="00525A35"/>
    <w:rsid w:val="00526A64"/>
    <w:rsid w:val="00526E3E"/>
    <w:rsid w:val="005311E2"/>
    <w:rsid w:val="00533D56"/>
    <w:rsid w:val="00542A27"/>
    <w:rsid w:val="005436E1"/>
    <w:rsid w:val="0054490C"/>
    <w:rsid w:val="0055718E"/>
    <w:rsid w:val="00557A6A"/>
    <w:rsid w:val="0056052A"/>
    <w:rsid w:val="00561F5E"/>
    <w:rsid w:val="005635FC"/>
    <w:rsid w:val="005657A9"/>
    <w:rsid w:val="005716C5"/>
    <w:rsid w:val="00573CDA"/>
    <w:rsid w:val="00574E6A"/>
    <w:rsid w:val="00581605"/>
    <w:rsid w:val="0058359B"/>
    <w:rsid w:val="005875CA"/>
    <w:rsid w:val="00593FCF"/>
    <w:rsid w:val="005A35C4"/>
    <w:rsid w:val="005C2F2D"/>
    <w:rsid w:val="005C7FE6"/>
    <w:rsid w:val="005D3F2F"/>
    <w:rsid w:val="005D65B3"/>
    <w:rsid w:val="005E6B0C"/>
    <w:rsid w:val="005F5B0D"/>
    <w:rsid w:val="00604048"/>
    <w:rsid w:val="006104C0"/>
    <w:rsid w:val="006150AC"/>
    <w:rsid w:val="00615164"/>
    <w:rsid w:val="006173CF"/>
    <w:rsid w:val="006222C4"/>
    <w:rsid w:val="00650640"/>
    <w:rsid w:val="00651C40"/>
    <w:rsid w:val="00674661"/>
    <w:rsid w:val="00675CBA"/>
    <w:rsid w:val="00676949"/>
    <w:rsid w:val="006869CF"/>
    <w:rsid w:val="006A655D"/>
    <w:rsid w:val="006C5A49"/>
    <w:rsid w:val="006D26B1"/>
    <w:rsid w:val="006E0DA2"/>
    <w:rsid w:val="006E1169"/>
    <w:rsid w:val="006E2348"/>
    <w:rsid w:val="006E79D8"/>
    <w:rsid w:val="006F4755"/>
    <w:rsid w:val="006F66FF"/>
    <w:rsid w:val="006F736D"/>
    <w:rsid w:val="00700B06"/>
    <w:rsid w:val="00704889"/>
    <w:rsid w:val="00707C9D"/>
    <w:rsid w:val="00710C84"/>
    <w:rsid w:val="00712426"/>
    <w:rsid w:val="00720F47"/>
    <w:rsid w:val="00732D7F"/>
    <w:rsid w:val="00740C6D"/>
    <w:rsid w:val="007413DE"/>
    <w:rsid w:val="00741A14"/>
    <w:rsid w:val="0074210A"/>
    <w:rsid w:val="00744B48"/>
    <w:rsid w:val="0075003C"/>
    <w:rsid w:val="007572F8"/>
    <w:rsid w:val="007645B3"/>
    <w:rsid w:val="00764D9C"/>
    <w:rsid w:val="00765CB7"/>
    <w:rsid w:val="00770B9E"/>
    <w:rsid w:val="00773555"/>
    <w:rsid w:val="00773B1F"/>
    <w:rsid w:val="00782D56"/>
    <w:rsid w:val="007860FA"/>
    <w:rsid w:val="007A2910"/>
    <w:rsid w:val="007B7DC7"/>
    <w:rsid w:val="007C0BB8"/>
    <w:rsid w:val="007C1B9C"/>
    <w:rsid w:val="007D0409"/>
    <w:rsid w:val="007D41EB"/>
    <w:rsid w:val="007E39F7"/>
    <w:rsid w:val="007E4697"/>
    <w:rsid w:val="007F1C86"/>
    <w:rsid w:val="008145E7"/>
    <w:rsid w:val="00815596"/>
    <w:rsid w:val="00816742"/>
    <w:rsid w:val="00816F6F"/>
    <w:rsid w:val="008172D4"/>
    <w:rsid w:val="00820212"/>
    <w:rsid w:val="00826286"/>
    <w:rsid w:val="00827FB8"/>
    <w:rsid w:val="008309A4"/>
    <w:rsid w:val="00835740"/>
    <w:rsid w:val="00842199"/>
    <w:rsid w:val="00842BAC"/>
    <w:rsid w:val="0084621F"/>
    <w:rsid w:val="00846D48"/>
    <w:rsid w:val="00860F30"/>
    <w:rsid w:val="00873024"/>
    <w:rsid w:val="00876089"/>
    <w:rsid w:val="008764FC"/>
    <w:rsid w:val="00877A8A"/>
    <w:rsid w:val="00881770"/>
    <w:rsid w:val="00882256"/>
    <w:rsid w:val="00884630"/>
    <w:rsid w:val="00895FA5"/>
    <w:rsid w:val="00896FDF"/>
    <w:rsid w:val="008A0424"/>
    <w:rsid w:val="008A1C4B"/>
    <w:rsid w:val="008B0A17"/>
    <w:rsid w:val="008C67D5"/>
    <w:rsid w:val="008D65BB"/>
    <w:rsid w:val="008D6A3D"/>
    <w:rsid w:val="008D7F28"/>
    <w:rsid w:val="008E505B"/>
    <w:rsid w:val="008F376F"/>
    <w:rsid w:val="00921934"/>
    <w:rsid w:val="00923FDF"/>
    <w:rsid w:val="00926EA0"/>
    <w:rsid w:val="00931958"/>
    <w:rsid w:val="009659F5"/>
    <w:rsid w:val="00970720"/>
    <w:rsid w:val="00971E2A"/>
    <w:rsid w:val="009744BC"/>
    <w:rsid w:val="00982334"/>
    <w:rsid w:val="00983D12"/>
    <w:rsid w:val="0098460F"/>
    <w:rsid w:val="00987603"/>
    <w:rsid w:val="00987E95"/>
    <w:rsid w:val="0099059B"/>
    <w:rsid w:val="009925A5"/>
    <w:rsid w:val="00995560"/>
    <w:rsid w:val="009A06A6"/>
    <w:rsid w:val="009A50F8"/>
    <w:rsid w:val="009B3122"/>
    <w:rsid w:val="009C0B30"/>
    <w:rsid w:val="009C3EC5"/>
    <w:rsid w:val="009E2ABE"/>
    <w:rsid w:val="009E7A4C"/>
    <w:rsid w:val="00A02F42"/>
    <w:rsid w:val="00A04C19"/>
    <w:rsid w:val="00A11C59"/>
    <w:rsid w:val="00A13355"/>
    <w:rsid w:val="00A14FFD"/>
    <w:rsid w:val="00A1589A"/>
    <w:rsid w:val="00A160B1"/>
    <w:rsid w:val="00A167D5"/>
    <w:rsid w:val="00A225C5"/>
    <w:rsid w:val="00A2322A"/>
    <w:rsid w:val="00A3470F"/>
    <w:rsid w:val="00A402E9"/>
    <w:rsid w:val="00A560DD"/>
    <w:rsid w:val="00A602D6"/>
    <w:rsid w:val="00A616D3"/>
    <w:rsid w:val="00A672B2"/>
    <w:rsid w:val="00A71E47"/>
    <w:rsid w:val="00A81756"/>
    <w:rsid w:val="00A92B70"/>
    <w:rsid w:val="00A961A7"/>
    <w:rsid w:val="00AA46BC"/>
    <w:rsid w:val="00AA7F1D"/>
    <w:rsid w:val="00AD4850"/>
    <w:rsid w:val="00AD6DC6"/>
    <w:rsid w:val="00AE176E"/>
    <w:rsid w:val="00AE6497"/>
    <w:rsid w:val="00AE6C82"/>
    <w:rsid w:val="00AE77F3"/>
    <w:rsid w:val="00AF2743"/>
    <w:rsid w:val="00AF36E4"/>
    <w:rsid w:val="00AF68FB"/>
    <w:rsid w:val="00B00A9B"/>
    <w:rsid w:val="00B1420E"/>
    <w:rsid w:val="00B21305"/>
    <w:rsid w:val="00B30004"/>
    <w:rsid w:val="00B3566C"/>
    <w:rsid w:val="00B51D14"/>
    <w:rsid w:val="00B53087"/>
    <w:rsid w:val="00B54B23"/>
    <w:rsid w:val="00B56102"/>
    <w:rsid w:val="00B614A6"/>
    <w:rsid w:val="00B6213A"/>
    <w:rsid w:val="00B64269"/>
    <w:rsid w:val="00B66A83"/>
    <w:rsid w:val="00B66D59"/>
    <w:rsid w:val="00B70336"/>
    <w:rsid w:val="00B70BA1"/>
    <w:rsid w:val="00B801A0"/>
    <w:rsid w:val="00B835E1"/>
    <w:rsid w:val="00B84F21"/>
    <w:rsid w:val="00B855F2"/>
    <w:rsid w:val="00B901C5"/>
    <w:rsid w:val="00BA1F14"/>
    <w:rsid w:val="00BA2C4B"/>
    <w:rsid w:val="00BA467F"/>
    <w:rsid w:val="00BA5E66"/>
    <w:rsid w:val="00BB0CEE"/>
    <w:rsid w:val="00BB28BC"/>
    <w:rsid w:val="00BC646A"/>
    <w:rsid w:val="00BC767E"/>
    <w:rsid w:val="00BE1201"/>
    <w:rsid w:val="00BE1798"/>
    <w:rsid w:val="00BF6F4D"/>
    <w:rsid w:val="00C049EA"/>
    <w:rsid w:val="00C05F89"/>
    <w:rsid w:val="00C17BC6"/>
    <w:rsid w:val="00C42D81"/>
    <w:rsid w:val="00C4439E"/>
    <w:rsid w:val="00C45D5D"/>
    <w:rsid w:val="00C87DD2"/>
    <w:rsid w:val="00C9587F"/>
    <w:rsid w:val="00CA4F66"/>
    <w:rsid w:val="00CA5EDA"/>
    <w:rsid w:val="00CA644D"/>
    <w:rsid w:val="00CB0503"/>
    <w:rsid w:val="00CB0AAA"/>
    <w:rsid w:val="00CB168D"/>
    <w:rsid w:val="00CB39CB"/>
    <w:rsid w:val="00CC19C5"/>
    <w:rsid w:val="00CC535A"/>
    <w:rsid w:val="00CD6800"/>
    <w:rsid w:val="00CE0EE4"/>
    <w:rsid w:val="00CE1AA5"/>
    <w:rsid w:val="00CE4381"/>
    <w:rsid w:val="00CE5EFC"/>
    <w:rsid w:val="00D01AA7"/>
    <w:rsid w:val="00D03B03"/>
    <w:rsid w:val="00D10142"/>
    <w:rsid w:val="00D217F3"/>
    <w:rsid w:val="00D444D9"/>
    <w:rsid w:val="00D447D0"/>
    <w:rsid w:val="00D50A85"/>
    <w:rsid w:val="00D5569D"/>
    <w:rsid w:val="00D609BC"/>
    <w:rsid w:val="00D722F5"/>
    <w:rsid w:val="00D80FD5"/>
    <w:rsid w:val="00D9078D"/>
    <w:rsid w:val="00D92053"/>
    <w:rsid w:val="00D95CFA"/>
    <w:rsid w:val="00DA5A7D"/>
    <w:rsid w:val="00DB17BE"/>
    <w:rsid w:val="00DB5113"/>
    <w:rsid w:val="00DC10DB"/>
    <w:rsid w:val="00DD3741"/>
    <w:rsid w:val="00DD398C"/>
    <w:rsid w:val="00DE0465"/>
    <w:rsid w:val="00DF6FAE"/>
    <w:rsid w:val="00DF79C6"/>
    <w:rsid w:val="00E019B3"/>
    <w:rsid w:val="00E1253A"/>
    <w:rsid w:val="00E24C9E"/>
    <w:rsid w:val="00E34063"/>
    <w:rsid w:val="00E41567"/>
    <w:rsid w:val="00E440F0"/>
    <w:rsid w:val="00E5578E"/>
    <w:rsid w:val="00E6347B"/>
    <w:rsid w:val="00E70D35"/>
    <w:rsid w:val="00E73D65"/>
    <w:rsid w:val="00E740CC"/>
    <w:rsid w:val="00E85F97"/>
    <w:rsid w:val="00E92FAD"/>
    <w:rsid w:val="00E93A05"/>
    <w:rsid w:val="00EB270D"/>
    <w:rsid w:val="00EC579D"/>
    <w:rsid w:val="00EC688B"/>
    <w:rsid w:val="00EC7944"/>
    <w:rsid w:val="00ED0BF9"/>
    <w:rsid w:val="00ED36BD"/>
    <w:rsid w:val="00ED3ACF"/>
    <w:rsid w:val="00EE56DF"/>
    <w:rsid w:val="00EF3D67"/>
    <w:rsid w:val="00EF6BF0"/>
    <w:rsid w:val="00F20D06"/>
    <w:rsid w:val="00F20EDD"/>
    <w:rsid w:val="00F21FBB"/>
    <w:rsid w:val="00F270DE"/>
    <w:rsid w:val="00F357C1"/>
    <w:rsid w:val="00F422A2"/>
    <w:rsid w:val="00F45BB0"/>
    <w:rsid w:val="00F621D3"/>
    <w:rsid w:val="00F70899"/>
    <w:rsid w:val="00F71063"/>
    <w:rsid w:val="00F76B3D"/>
    <w:rsid w:val="00F903A8"/>
    <w:rsid w:val="00F931BE"/>
    <w:rsid w:val="00FA2009"/>
    <w:rsid w:val="00FA3466"/>
    <w:rsid w:val="00FB4AF2"/>
    <w:rsid w:val="00FB599E"/>
    <w:rsid w:val="00FC3F87"/>
    <w:rsid w:val="00FE0583"/>
    <w:rsid w:val="00FE0A71"/>
    <w:rsid w:val="00FE20EE"/>
    <w:rsid w:val="00FE6F50"/>
    <w:rsid w:val="13402EF5"/>
    <w:rsid w:val="15AB2DAA"/>
    <w:rsid w:val="3370727B"/>
    <w:rsid w:val="393F450A"/>
    <w:rsid w:val="3AAC1834"/>
    <w:rsid w:val="4BE3F2D4"/>
    <w:rsid w:val="5D9E04A7"/>
    <w:rsid w:val="7827A4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5FF5E"/>
  <w15:chartTrackingRefBased/>
  <w15:docId w15:val="{03294C0D-D2F5-4E75-B222-C135AC2F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65C9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65C9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65C9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65C9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65C9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65C9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65C9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65C9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65C9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C9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65C9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65C9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65C9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65C9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65C9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65C9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65C9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65C97"/>
    <w:rPr>
      <w:rFonts w:eastAsiaTheme="majorEastAsia" w:cstheme="majorBidi"/>
      <w:color w:val="272727" w:themeColor="text1" w:themeTint="D8"/>
    </w:rPr>
  </w:style>
  <w:style w:type="paragraph" w:styleId="Title">
    <w:name w:val="Title"/>
    <w:basedOn w:val="Normal"/>
    <w:next w:val="Normal"/>
    <w:link w:val="TitleChar"/>
    <w:uiPriority w:val="10"/>
    <w:qFormat/>
    <w:rsid w:val="00465C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65C9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65C9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65C9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65C97"/>
    <w:pPr>
      <w:spacing w:before="160"/>
      <w:jc w:val="center"/>
    </w:pPr>
    <w:rPr>
      <w:i/>
      <w:iCs/>
      <w:color w:val="404040" w:themeColor="text1" w:themeTint="BF"/>
    </w:rPr>
  </w:style>
  <w:style w:type="character" w:customStyle="1" w:styleId="QuoteChar">
    <w:name w:val="Quote Char"/>
    <w:basedOn w:val="DefaultParagraphFont"/>
    <w:link w:val="Quote"/>
    <w:uiPriority w:val="29"/>
    <w:rsid w:val="00465C97"/>
    <w:rPr>
      <w:i/>
      <w:iCs/>
      <w:color w:val="404040" w:themeColor="text1" w:themeTint="BF"/>
    </w:rPr>
  </w:style>
  <w:style w:type="paragraph" w:styleId="ListParagraph">
    <w:name w:val="List Paragraph"/>
    <w:basedOn w:val="Normal"/>
    <w:uiPriority w:val="1"/>
    <w:qFormat/>
    <w:rsid w:val="00465C97"/>
    <w:pPr>
      <w:ind w:left="720"/>
      <w:contextualSpacing/>
    </w:pPr>
  </w:style>
  <w:style w:type="character" w:styleId="IntenseEmphasis">
    <w:name w:val="Intense Emphasis"/>
    <w:basedOn w:val="DefaultParagraphFont"/>
    <w:uiPriority w:val="21"/>
    <w:qFormat/>
    <w:rsid w:val="00465C97"/>
    <w:rPr>
      <w:i/>
      <w:iCs/>
      <w:color w:val="0F4761" w:themeColor="accent1" w:themeShade="BF"/>
    </w:rPr>
  </w:style>
  <w:style w:type="paragraph" w:styleId="IntenseQuote">
    <w:name w:val="Intense Quote"/>
    <w:basedOn w:val="Normal"/>
    <w:next w:val="Normal"/>
    <w:link w:val="IntenseQuoteChar"/>
    <w:uiPriority w:val="30"/>
    <w:qFormat/>
    <w:rsid w:val="00465C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65C97"/>
    <w:rPr>
      <w:i/>
      <w:iCs/>
      <w:color w:val="0F4761" w:themeColor="accent1" w:themeShade="BF"/>
    </w:rPr>
  </w:style>
  <w:style w:type="character" w:styleId="IntenseReference">
    <w:name w:val="Intense Reference"/>
    <w:basedOn w:val="DefaultParagraphFont"/>
    <w:uiPriority w:val="32"/>
    <w:qFormat/>
    <w:rsid w:val="00465C97"/>
    <w:rPr>
      <w:b/>
      <w:bCs/>
      <w:smallCaps/>
      <w:color w:val="0F4761" w:themeColor="accent1" w:themeShade="BF"/>
      <w:spacing w:val="5"/>
    </w:rPr>
  </w:style>
  <w:style w:type="table" w:styleId="TableGrid">
    <w:name w:val="Table Grid"/>
    <w:basedOn w:val="TableNormal"/>
    <w:uiPriority w:val="39"/>
    <w:rsid w:val="00465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92B70"/>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2B70"/>
  </w:style>
  <w:style w:type="paragraph" w:styleId="Footer">
    <w:name w:val="footer"/>
    <w:basedOn w:val="Normal"/>
    <w:link w:val="FooterChar"/>
    <w:uiPriority w:val="99"/>
    <w:unhideWhenUsed/>
    <w:rsid w:val="00A92B70"/>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2B70"/>
  </w:style>
  <w:style w:type="table" w:customStyle="1" w:styleId="TableNormal1">
    <w:name w:val="Table Normal1"/>
    <w:semiHidden/>
    <w:rsid w:val="00F903A8"/>
    <w:pPr>
      <w:spacing w:line="278" w:lineRule="auto"/>
    </w:pPr>
    <w:rPr>
      <w:rFonts w:eastAsiaTheme="minorEastAsia"/>
      <w:sz w:val="24"/>
      <w:szCs w:val="24"/>
      <w:lang w:eastAsia="cs-CZ"/>
    </w:rPr>
    <w:tblPr>
      <w:tblInd w:w="0" w:type="dxa"/>
      <w:tblCellMar>
        <w:top w:w="0" w:type="dxa"/>
        <w:left w:w="108" w:type="dxa"/>
        <w:bottom w:w="0" w:type="dxa"/>
        <w:right w:w="0" w:type="dxa"/>
      </w:tblCellMar>
    </w:tblPr>
  </w:style>
  <w:style w:type="paragraph" w:styleId="BodyText">
    <w:name w:val="Body Text"/>
    <w:basedOn w:val="Normal"/>
    <w:link w:val="BodyTextChar"/>
    <w:uiPriority w:val="1"/>
    <w:qFormat/>
    <w:rsid w:val="004E6676"/>
    <w:pPr>
      <w:widowControl w:val="0"/>
      <w:autoSpaceDE w:val="0"/>
      <w:autoSpaceDN w:val="0"/>
      <w:spacing w:after="0" w:line="240" w:lineRule="auto"/>
    </w:pPr>
    <w:rPr>
      <w:rFonts w:ascii="Arial" w:eastAsia="Arial" w:hAnsi="Arial" w:cs="Arial"/>
      <w:kern w:val="0"/>
      <w14:ligatures w14:val="none"/>
    </w:rPr>
  </w:style>
  <w:style w:type="character" w:customStyle="1" w:styleId="BodyTextChar">
    <w:name w:val="Body Text Char"/>
    <w:basedOn w:val="DefaultParagraphFont"/>
    <w:link w:val="BodyText"/>
    <w:uiPriority w:val="1"/>
    <w:rsid w:val="004E6676"/>
    <w:rPr>
      <w:rFonts w:ascii="Arial" w:eastAsia="Arial" w:hAnsi="Arial" w:cs="Arial"/>
      <w:kern w:val="0"/>
      <w14:ligatures w14:val="none"/>
    </w:rPr>
  </w:style>
  <w:style w:type="paragraph" w:customStyle="1" w:styleId="TableParagraph">
    <w:name w:val="Table Paragraph"/>
    <w:basedOn w:val="Normal"/>
    <w:uiPriority w:val="1"/>
    <w:qFormat/>
    <w:rsid w:val="004E6676"/>
    <w:pPr>
      <w:widowControl w:val="0"/>
      <w:autoSpaceDE w:val="0"/>
      <w:autoSpaceDN w:val="0"/>
      <w:spacing w:after="0" w:line="240" w:lineRule="auto"/>
    </w:pPr>
    <w:rPr>
      <w:rFonts w:ascii="Arial" w:eastAsia="Arial" w:hAnsi="Arial" w:cs="Arial"/>
      <w:kern w:val="0"/>
      <w14:ligatures w14:val="none"/>
    </w:rPr>
  </w:style>
  <w:style w:type="paragraph" w:styleId="NoSpacing">
    <w:name w:val="No Spacing"/>
    <w:uiPriority w:val="1"/>
    <w:qFormat/>
    <w:rsid w:val="15AB2DAA"/>
    <w:pPr>
      <w:spacing w:after="0"/>
    </w:pPr>
  </w:style>
  <w:style w:type="paragraph" w:customStyle="1" w:styleId="Default">
    <w:name w:val="Default"/>
    <w:rsid w:val="00CA4F66"/>
    <w:pPr>
      <w:autoSpaceDE w:val="0"/>
      <w:autoSpaceDN w:val="0"/>
      <w:adjustRightInd w:val="0"/>
      <w:spacing w:after="0" w:line="240" w:lineRule="auto"/>
    </w:pPr>
    <w:rPr>
      <w:rFonts w:ascii="Arial" w:hAnsi="Arial" w:cs="Arial"/>
      <w:color w:val="000000"/>
      <w:kern w:val="0"/>
      <w:sz w:val="24"/>
      <w:szCs w:val="24"/>
    </w:rPr>
  </w:style>
  <w:style w:type="character" w:styleId="CommentReference">
    <w:name w:val="annotation reference"/>
    <w:basedOn w:val="DefaultParagraphFont"/>
    <w:uiPriority w:val="99"/>
    <w:semiHidden/>
    <w:unhideWhenUsed/>
    <w:rsid w:val="00F70899"/>
    <w:rPr>
      <w:sz w:val="16"/>
      <w:szCs w:val="16"/>
    </w:rPr>
  </w:style>
  <w:style w:type="paragraph" w:styleId="CommentText">
    <w:name w:val="annotation text"/>
    <w:basedOn w:val="Normal"/>
    <w:link w:val="CommentTextChar"/>
    <w:uiPriority w:val="99"/>
    <w:unhideWhenUsed/>
    <w:rsid w:val="00F70899"/>
    <w:pPr>
      <w:spacing w:line="240" w:lineRule="auto"/>
    </w:pPr>
    <w:rPr>
      <w:sz w:val="20"/>
      <w:szCs w:val="20"/>
    </w:rPr>
  </w:style>
  <w:style w:type="character" w:customStyle="1" w:styleId="CommentTextChar">
    <w:name w:val="Comment Text Char"/>
    <w:basedOn w:val="DefaultParagraphFont"/>
    <w:link w:val="CommentText"/>
    <w:uiPriority w:val="99"/>
    <w:rsid w:val="00F70899"/>
    <w:rPr>
      <w:sz w:val="20"/>
      <w:szCs w:val="20"/>
    </w:rPr>
  </w:style>
  <w:style w:type="paragraph" w:styleId="CommentSubject">
    <w:name w:val="annotation subject"/>
    <w:basedOn w:val="CommentText"/>
    <w:next w:val="CommentText"/>
    <w:link w:val="CommentSubjectChar"/>
    <w:uiPriority w:val="99"/>
    <w:semiHidden/>
    <w:unhideWhenUsed/>
    <w:rsid w:val="00F70899"/>
    <w:rPr>
      <w:b/>
      <w:bCs/>
    </w:rPr>
  </w:style>
  <w:style w:type="character" w:customStyle="1" w:styleId="CommentSubjectChar">
    <w:name w:val="Comment Subject Char"/>
    <w:basedOn w:val="CommentTextChar"/>
    <w:link w:val="CommentSubject"/>
    <w:uiPriority w:val="99"/>
    <w:semiHidden/>
    <w:rsid w:val="00F70899"/>
    <w:rPr>
      <w:b/>
      <w:bCs/>
      <w:sz w:val="20"/>
      <w:szCs w:val="20"/>
    </w:rPr>
  </w:style>
  <w:style w:type="table" w:customStyle="1" w:styleId="TableNormal2">
    <w:name w:val="Table Normal2"/>
    <w:uiPriority w:val="2"/>
    <w:semiHidden/>
    <w:qFormat/>
    <w:rsid w:val="00520322"/>
    <w:pPr>
      <w:spacing w:line="278" w:lineRule="auto"/>
    </w:pPr>
    <w:rPr>
      <w:rFonts w:eastAsiaTheme="minorEastAsia"/>
      <w:sz w:val="24"/>
      <w:szCs w:val="24"/>
      <w:lang w:eastAsia="cs-CZ"/>
    </w:rPr>
    <w:tblPr>
      <w:tblInd w:w="0" w:type="dxa"/>
      <w:tblCellMar>
        <w:top w:w="0" w:type="dxa"/>
        <w:left w:w="108"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1597</Words>
  <Characters>9109</Characters>
  <Application>Microsoft Office Word</Application>
  <DocSecurity>4</DocSecurity>
  <Lines>75</Lines>
  <Paragraphs>21</Paragraphs>
  <ScaleCrop>false</ScaleCrop>
  <Company>PVS</Company>
  <LinksUpToDate>false</LinksUpToDate>
  <CharactersWithSpaces>10685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 Jan</dc:creator>
  <cp:keywords/>
  <dc:description/>
  <cp:lastModifiedBy>Lukeš Jan</cp:lastModifiedBy>
  <cp:revision>76</cp:revision>
  <dcterms:created xsi:type="dcterms:W3CDTF">2025-02-06T22:51:00Z</dcterms:created>
  <dcterms:modified xsi:type="dcterms:W3CDTF">2025-05-06T04:06:00Z</dcterms:modified>
</cp:coreProperties>
</file>