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44" w:type="dxa"/>
        <w:tblLook w:val="04A0" w:firstRow="1" w:lastRow="0" w:firstColumn="1" w:lastColumn="0" w:noHBand="0" w:noVBand="1"/>
      </w:tblPr>
      <w:tblGrid>
        <w:gridCol w:w="3539"/>
        <w:gridCol w:w="5505"/>
      </w:tblGrid>
      <w:tr w:rsidR="00465C97" w14:paraId="0C6980EA" w14:textId="77777777" w:rsidTr="00C321D1">
        <w:trPr>
          <w:trHeight w:val="567"/>
        </w:trPr>
        <w:tc>
          <w:tcPr>
            <w:tcW w:w="9044" w:type="dxa"/>
            <w:gridSpan w:val="2"/>
            <w:shd w:val="clear" w:color="auto" w:fill="C1E4F5" w:themeFill="accent1" w:themeFillTint="33"/>
            <w:vAlign w:val="center"/>
          </w:tcPr>
          <w:p w14:paraId="5D7FD70A" w14:textId="615A29D3" w:rsidR="002D2B30" w:rsidRPr="00852843" w:rsidRDefault="00465C97" w:rsidP="00C321D1">
            <w:pPr>
              <w:jc w:val="center"/>
              <w:rPr>
                <w:b/>
                <w:bCs/>
              </w:rPr>
            </w:pPr>
            <w:r w:rsidRPr="00852843">
              <w:rPr>
                <w:b/>
                <w:bCs/>
              </w:rPr>
              <w:t>Dotaz</w:t>
            </w:r>
            <w:r w:rsidR="00A92B70" w:rsidRPr="00852843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4CC1FCE">
        <w:trPr>
          <w:trHeight w:val="3849"/>
        </w:trPr>
        <w:tc>
          <w:tcPr>
            <w:tcW w:w="9044" w:type="dxa"/>
            <w:gridSpan w:val="2"/>
            <w:tcBorders>
              <w:bottom w:val="single" w:sz="4" w:space="0" w:color="auto"/>
            </w:tcBorders>
          </w:tcPr>
          <w:tbl>
            <w:tblPr>
              <w:tblW w:w="0" w:type="auto"/>
              <w:tblLook w:val="06A0" w:firstRow="1" w:lastRow="0" w:firstColumn="1" w:lastColumn="0" w:noHBand="1" w:noVBand="1"/>
            </w:tblPr>
            <w:tblGrid>
              <w:gridCol w:w="8828"/>
            </w:tblGrid>
            <w:tr w:rsidR="4EE078DB" w:rsidRPr="00852843" w14:paraId="136F87F7" w14:textId="77777777" w:rsidTr="00042AA4">
              <w:trPr>
                <w:trHeight w:val="300"/>
              </w:trPr>
              <w:tc>
                <w:tcPr>
                  <w:tcW w:w="8844" w:type="dxa"/>
                </w:tcPr>
                <w:tbl>
                  <w:tblPr>
                    <w:tblW w:w="0" w:type="auto"/>
                    <w:tblLook w:val="06A0" w:firstRow="1" w:lastRow="0" w:firstColumn="1" w:lastColumn="0" w:noHBand="1" w:noVBand="1"/>
                  </w:tblPr>
                  <w:tblGrid>
                    <w:gridCol w:w="8552"/>
                  </w:tblGrid>
                  <w:tr w:rsidR="7E1E3568" w:rsidRPr="00852843" w14:paraId="19AB516D" w14:textId="77777777" w:rsidTr="4777A7B1">
                    <w:trPr>
                      <w:trHeight w:val="185"/>
                    </w:trPr>
                    <w:tc>
                      <w:tcPr>
                        <w:tcW w:w="8552" w:type="dxa"/>
                      </w:tcPr>
                      <w:tbl>
                        <w:tblPr>
                          <w:tblW w:w="0" w:type="auto"/>
                          <w:tblLook w:val="06A0" w:firstRow="1" w:lastRow="0" w:firstColumn="1" w:lastColumn="0" w:noHBand="1" w:noVBand="1"/>
                        </w:tblPr>
                        <w:tblGrid>
                          <w:gridCol w:w="8336"/>
                        </w:tblGrid>
                        <w:tr w:rsidR="4777A7B1" w:rsidRPr="00852843" w14:paraId="262395F3" w14:textId="77777777" w:rsidTr="4777A7B1">
                          <w:trPr>
                            <w:trHeight w:val="300"/>
                          </w:trPr>
                          <w:tc>
                            <w:tcPr>
                              <w:tcW w:w="8342" w:type="dxa"/>
                            </w:tcPr>
                            <w:p w14:paraId="66443FA5" w14:textId="369CB2A0" w:rsidR="4777A7B1" w:rsidRPr="00852843" w:rsidRDefault="4777A7B1" w:rsidP="002958FF">
                              <w:pPr>
                                <w:spacing w:before="22" w:after="0"/>
                                <w:jc w:val="both"/>
                                <w:rPr>
                                  <w:rFonts w:eastAsia="Arial" w:cs="Arial"/>
                                  <w:b/>
                                  <w:bCs/>
                                  <w:color w:val="000000" w:themeColor="text1"/>
                                  <w:lang w:val="en-US"/>
                                </w:rPr>
                              </w:pPr>
                              <w:r w:rsidRPr="00852843">
                                <w:rPr>
                                  <w:rFonts w:eastAsia="Arial" w:cs="Arial"/>
                                  <w:b/>
                                  <w:bCs/>
                                  <w:color w:val="000000" w:themeColor="text1"/>
                                  <w:lang w:val="en-US"/>
                                </w:rPr>
                                <w:t>Dotaz_15</w:t>
                              </w:r>
                            </w:p>
                            <w:p w14:paraId="6B277FCB" w14:textId="6A083A6A" w:rsidR="4777A7B1" w:rsidRPr="00852843" w:rsidRDefault="4777A7B1" w:rsidP="002958FF">
                              <w:pPr>
                                <w:spacing w:before="22" w:after="0"/>
                                <w:jc w:val="both"/>
                              </w:pPr>
                              <w:proofErr w:type="spellStart"/>
                              <w:r w:rsidRPr="00852843">
                                <w:rPr>
                                  <w:rFonts w:eastAsia="Arial" w:cs="Arial"/>
                                  <w:b/>
                                  <w:bCs/>
                                  <w:color w:val="000000" w:themeColor="text1"/>
                                  <w:lang w:val="en-US"/>
                                </w:rPr>
                                <w:t>Cenová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b/>
                                  <w:bCs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52843">
                                <w:rPr>
                                  <w:rFonts w:eastAsia="Arial" w:cs="Arial"/>
                                  <w:b/>
                                  <w:bCs/>
                                  <w:color w:val="000000" w:themeColor="text1"/>
                                  <w:lang w:val="en-US"/>
                                </w:rPr>
                                <w:t>soustava</w:t>
                              </w:r>
                              <w:proofErr w:type="spellEnd"/>
                            </w:p>
                          </w:tc>
                        </w:tr>
                        <w:tr w:rsidR="4777A7B1" w:rsidRPr="00852843" w14:paraId="598DB07D" w14:textId="77777777" w:rsidTr="4777A7B1">
                          <w:trPr>
                            <w:trHeight w:val="300"/>
                          </w:trPr>
                          <w:tc>
                            <w:tcPr>
                              <w:tcW w:w="8342" w:type="dxa"/>
                            </w:tcPr>
                            <w:p w14:paraId="1A4C613C" w14:textId="7CC0E281" w:rsidR="4777A7B1" w:rsidRPr="00852843" w:rsidRDefault="4777A7B1" w:rsidP="002958FF">
                              <w:pPr>
                                <w:spacing w:after="0"/>
                                <w:jc w:val="both"/>
                              </w:pPr>
                              <w:proofErr w:type="spellStart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Uchazeč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upozorňuje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Objednatele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nesoulad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cenových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soustav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Metodiky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měření</w:t>
                              </w:r>
                              <w:proofErr w:type="spellEnd"/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 xml:space="preserve"> (</w:t>
                              </w:r>
                              <w:r w:rsidRPr="00852843">
                                <w:rPr>
                                  <w:rFonts w:eastAsia="Arial" w:cs="Arial"/>
                                  <w:i/>
                                  <w:iCs/>
                                  <w:color w:val="000000" w:themeColor="text1"/>
                                  <w:lang w:val="en-US"/>
                                </w:rPr>
                                <w:t xml:space="preserve">P8 ZD) </w:t>
                              </w:r>
                              <w:r w:rsidRPr="00852843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a</w:t>
                              </w:r>
                            </w:p>
                          </w:tc>
                        </w:tr>
                      </w:tbl>
                      <w:p w14:paraId="18EE1EB9" w14:textId="105650E2" w:rsidR="7E1E3568" w:rsidRPr="00852843" w:rsidRDefault="637BFCE3" w:rsidP="002958FF">
                        <w:pPr>
                          <w:spacing w:before="22" w:after="0"/>
                          <w:jc w:val="both"/>
                          <w:rPr>
                            <w:rFonts w:eastAsia="Arial" w:cs="Arial"/>
                            <w:lang w:val="en-US"/>
                          </w:rPr>
                        </w:pPr>
                        <w:proofErr w:type="spellStart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soupisu</w:t>
                        </w:r>
                        <w:proofErr w:type="spellEnd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prací</w:t>
                        </w:r>
                        <w:proofErr w:type="spellEnd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s </w:t>
                        </w:r>
                        <w:proofErr w:type="spellStart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výkazem</w:t>
                        </w:r>
                        <w:proofErr w:type="spellEnd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výměr</w:t>
                        </w:r>
                        <w:proofErr w:type="spellEnd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(</w:t>
                        </w:r>
                        <w:r w:rsidRPr="00852843">
                          <w:rPr>
                            <w:rFonts w:eastAsia="Arial" w:cs="Arial"/>
                            <w:i/>
                            <w:iCs/>
                            <w:color w:val="000000" w:themeColor="text1"/>
                            <w:lang w:val="en-US"/>
                          </w:rPr>
                          <w:t>P6 ZD</w:t>
                        </w:r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) a </w:t>
                        </w:r>
                        <w:proofErr w:type="spellStart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žádá</w:t>
                        </w:r>
                        <w:proofErr w:type="spellEnd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o </w:t>
                        </w:r>
                        <w:proofErr w:type="spellStart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stanovisko</w:t>
                        </w:r>
                        <w:proofErr w:type="spellEnd"/>
                        <w:r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.</w:t>
                        </w:r>
                      </w:p>
                    </w:tc>
                  </w:tr>
                  <w:tr w:rsidR="7E1E3568" w:rsidRPr="00852843" w14:paraId="2E72C06C" w14:textId="77777777" w:rsidTr="4777A7B1">
                    <w:trPr>
                      <w:trHeight w:val="185"/>
                    </w:trPr>
                    <w:tc>
                      <w:tcPr>
                        <w:tcW w:w="8552" w:type="dxa"/>
                      </w:tcPr>
                      <w:p w14:paraId="1025E858" w14:textId="77777777" w:rsidR="00445F78" w:rsidRPr="00852843" w:rsidRDefault="00445F78" w:rsidP="002958FF">
                        <w:pPr>
                          <w:widowControl w:val="0"/>
                          <w:autoSpaceDE w:val="0"/>
                          <w:autoSpaceDN w:val="0"/>
                          <w:spacing w:after="0" w:line="247" w:lineRule="exact"/>
                          <w:jc w:val="both"/>
                          <w:rPr>
                            <w:color w:val="000000"/>
                          </w:rPr>
                        </w:pPr>
                      </w:p>
                      <w:p w14:paraId="1005A646" w14:textId="77777777" w:rsidR="4777A7B1" w:rsidRPr="00852843" w:rsidRDefault="00445F78" w:rsidP="002958FF">
                        <w:pPr>
                          <w:widowControl w:val="0"/>
                          <w:autoSpaceDE w:val="0"/>
                          <w:autoSpaceDN w:val="0"/>
                          <w:spacing w:after="0" w:line="247" w:lineRule="exact"/>
                          <w:jc w:val="both"/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</w:pPr>
                        <w:r w:rsidRPr="00852843">
                          <w:rPr>
                            <w:color w:val="000000"/>
                          </w:rPr>
                          <w:t>Metodika</w:t>
                        </w:r>
                        <w:r w:rsidRPr="00852843">
                          <w:rPr>
                            <w:color w:val="000000"/>
                            <w:spacing w:val="-2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 xml:space="preserve">měření             </w:t>
                        </w:r>
                        <w:proofErr w:type="spellStart"/>
                        <w:r w:rsidR="4777A7B1"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cenová</w:t>
                        </w:r>
                        <w:proofErr w:type="spellEnd"/>
                        <w:r w:rsidR="4777A7B1"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="4777A7B1"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soustava</w:t>
                        </w:r>
                        <w:proofErr w:type="spellEnd"/>
                        <w:r w:rsidR="4777A7B1" w:rsidRPr="00852843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OTSKP</w:t>
                        </w:r>
                      </w:p>
                      <w:p w14:paraId="62554C3A" w14:textId="27C4F89F" w:rsidR="00F24093" w:rsidRPr="00852843" w:rsidRDefault="006F59BD" w:rsidP="002958FF">
                        <w:pPr>
                          <w:widowControl w:val="0"/>
                          <w:autoSpaceDE w:val="0"/>
                          <w:autoSpaceDN w:val="0"/>
                          <w:spacing w:before="25" w:after="0" w:line="247" w:lineRule="exact"/>
                          <w:jc w:val="both"/>
                          <w:rPr>
                            <w:color w:val="000000"/>
                          </w:rPr>
                        </w:pPr>
                        <w:r w:rsidRPr="00852843">
                          <w:rPr>
                            <w:rFonts w:cs="Arial"/>
                            <w:color w:val="000000"/>
                          </w:rPr>
                          <w:t>Zadávací</w:t>
                        </w:r>
                        <w:r w:rsidRPr="00852843">
                          <w:rPr>
                            <w:color w:val="000000"/>
                          </w:rPr>
                          <w:t xml:space="preserve"> soupis</w:t>
                        </w:r>
                        <w:r w:rsidRPr="00852843">
                          <w:rPr>
                            <w:color w:val="000000"/>
                            <w:spacing w:val="2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prací</w:t>
                        </w:r>
                        <w:r w:rsidR="00F24093" w:rsidRPr="00852843">
                          <w:rPr>
                            <w:rFonts w:cs="Arial"/>
                            <w:color w:val="000000"/>
                          </w:rPr>
                          <w:t xml:space="preserve">     cenová</w:t>
                        </w:r>
                        <w:r w:rsidR="00F24093" w:rsidRPr="00852843">
                          <w:rPr>
                            <w:color w:val="000000"/>
                            <w:spacing w:val="1"/>
                          </w:rPr>
                          <w:t xml:space="preserve"> </w:t>
                        </w:r>
                        <w:r w:rsidR="00F24093" w:rsidRPr="00852843">
                          <w:rPr>
                            <w:color w:val="000000"/>
                          </w:rPr>
                          <w:t>soustava</w:t>
                        </w:r>
                        <w:r w:rsidR="00F24093" w:rsidRPr="00852843">
                          <w:rPr>
                            <w:color w:val="000000"/>
                            <w:spacing w:val="-2"/>
                          </w:rPr>
                          <w:t xml:space="preserve"> </w:t>
                        </w:r>
                        <w:r w:rsidR="00F24093" w:rsidRPr="00852843">
                          <w:rPr>
                            <w:color w:val="000000"/>
                            <w:spacing w:val="-1"/>
                          </w:rPr>
                          <w:t>URS</w:t>
                        </w:r>
                        <w:r w:rsidR="00F24093" w:rsidRPr="00852843">
                          <w:rPr>
                            <w:color w:val="000000"/>
                            <w:spacing w:val="1"/>
                          </w:rPr>
                          <w:t xml:space="preserve"> </w:t>
                        </w:r>
                        <w:r w:rsidR="00F24093" w:rsidRPr="00852843">
                          <w:rPr>
                            <w:color w:val="000000"/>
                            <w:spacing w:val="-1"/>
                          </w:rPr>
                          <w:t>CZ</w:t>
                        </w:r>
                      </w:p>
                      <w:p w14:paraId="7C9D1A29" w14:textId="77777777" w:rsidR="00686A25" w:rsidRPr="00852843" w:rsidRDefault="00686A25" w:rsidP="002958FF">
                        <w:pPr>
                          <w:widowControl w:val="0"/>
                          <w:autoSpaceDE w:val="0"/>
                          <w:autoSpaceDN w:val="0"/>
                          <w:spacing w:after="0" w:line="247" w:lineRule="exact"/>
                          <w:jc w:val="both"/>
                          <w:rPr>
                            <w:rFonts w:cs="Arial"/>
                            <w:color w:val="000000"/>
                          </w:rPr>
                        </w:pPr>
                      </w:p>
                      <w:p w14:paraId="6A41DAB2" w14:textId="7AEFAE57" w:rsidR="00445F78" w:rsidRPr="00852843" w:rsidRDefault="00686A25" w:rsidP="002958FF">
                        <w:pPr>
                          <w:widowControl w:val="0"/>
                          <w:autoSpaceDE w:val="0"/>
                          <w:autoSpaceDN w:val="0"/>
                          <w:spacing w:after="0" w:line="247" w:lineRule="exact"/>
                          <w:jc w:val="both"/>
                          <w:rPr>
                            <w:color w:val="000000"/>
                          </w:rPr>
                        </w:pPr>
                        <w:r w:rsidRPr="00852843">
                          <w:rPr>
                            <w:rFonts w:cs="Arial"/>
                            <w:color w:val="000000"/>
                          </w:rPr>
                          <w:t>Uchazeč</w:t>
                        </w:r>
                        <w:r w:rsidRPr="00852843">
                          <w:rPr>
                            <w:color w:val="000000"/>
                            <w:spacing w:val="46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vzhledem</w:t>
                        </w:r>
                        <w:r w:rsidRPr="00852843">
                          <w:rPr>
                            <w:color w:val="000000"/>
                            <w:spacing w:val="46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na</w:t>
                        </w:r>
                        <w:r w:rsidRPr="00852843">
                          <w:rPr>
                            <w:color w:val="000000"/>
                            <w:spacing w:val="44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důležitost</w:t>
                        </w:r>
                        <w:r w:rsidRPr="00852843">
                          <w:rPr>
                            <w:color w:val="000000"/>
                            <w:spacing w:val="45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měření</w:t>
                        </w:r>
                        <w:r w:rsidRPr="00852843">
                          <w:rPr>
                            <w:color w:val="000000"/>
                            <w:spacing w:val="46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dle</w:t>
                        </w:r>
                        <w:r w:rsidRPr="00852843">
                          <w:rPr>
                            <w:color w:val="000000"/>
                            <w:spacing w:val="47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smluvních</w:t>
                        </w:r>
                        <w:r w:rsidRPr="00852843">
                          <w:rPr>
                            <w:color w:val="000000"/>
                            <w:spacing w:val="44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podmínek</w:t>
                        </w:r>
                        <w:r w:rsidRPr="00852843">
                          <w:rPr>
                            <w:color w:val="000000"/>
                            <w:spacing w:val="45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upozorňuje</w:t>
                        </w:r>
                        <w:r w:rsidRPr="00852843">
                          <w:rPr>
                            <w:color w:val="000000"/>
                            <w:spacing w:val="44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na</w:t>
                        </w:r>
                        <w:r w:rsidRPr="00852843">
                          <w:rPr>
                            <w:color w:val="000000"/>
                            <w:spacing w:val="44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  <w:spacing w:val="-1"/>
                          </w:rPr>
                          <w:t>zásadní</w:t>
                        </w:r>
                        <w:r w:rsidR="002958FF">
                          <w:rPr>
                            <w:rFonts w:cs="Arial"/>
                            <w:color w:val="000000"/>
                            <w:spacing w:val="-1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rozdíly</w:t>
                        </w:r>
                        <w:r w:rsidRPr="00852843">
                          <w:rPr>
                            <w:color w:val="000000"/>
                            <w:spacing w:val="23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v</w:t>
                        </w:r>
                        <w:r w:rsidRPr="00852843">
                          <w:rPr>
                            <w:color w:val="000000"/>
                            <w:spacing w:val="-3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měření</w:t>
                        </w:r>
                        <w:r w:rsidRPr="00852843">
                          <w:rPr>
                            <w:color w:val="000000"/>
                            <w:spacing w:val="24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dle</w:t>
                        </w:r>
                        <w:r w:rsidRPr="00852843">
                          <w:rPr>
                            <w:color w:val="000000"/>
                            <w:spacing w:val="23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uvedených</w:t>
                        </w:r>
                        <w:r w:rsidRPr="00852843">
                          <w:rPr>
                            <w:color w:val="000000"/>
                            <w:spacing w:val="22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cenových</w:t>
                        </w:r>
                        <w:r w:rsidRPr="00852843">
                          <w:rPr>
                            <w:color w:val="000000"/>
                            <w:spacing w:val="20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soustav.</w:t>
                        </w:r>
                        <w:r w:rsidRPr="00852843">
                          <w:rPr>
                            <w:color w:val="000000"/>
                            <w:spacing w:val="24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Nastavená</w:t>
                        </w:r>
                        <w:r w:rsidRPr="00852843">
                          <w:rPr>
                            <w:color w:val="000000"/>
                            <w:spacing w:val="20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Metodika</w:t>
                        </w:r>
                        <w:r w:rsidRPr="00852843">
                          <w:rPr>
                            <w:color w:val="000000"/>
                            <w:spacing w:val="20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měření</w:t>
                        </w:r>
                        <w:r w:rsidRPr="00852843">
                          <w:rPr>
                            <w:color w:val="000000"/>
                            <w:spacing w:val="21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  <w:spacing w:val="1"/>
                          </w:rPr>
                          <w:t>je</w:t>
                        </w:r>
                        <w:r w:rsidRPr="00852843">
                          <w:rPr>
                            <w:color w:val="000000"/>
                            <w:spacing w:val="19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již</w:t>
                        </w:r>
                        <w:r w:rsidRPr="00852843">
                          <w:rPr>
                            <w:color w:val="000000"/>
                            <w:spacing w:val="23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v</w:t>
                        </w:r>
                        <w:r w:rsidR="002958FF">
                          <w:rPr>
                            <w:color w:val="000000"/>
                            <w:spacing w:val="5"/>
                          </w:rPr>
                          <w:t> </w:t>
                        </w:r>
                        <w:r w:rsidRPr="00852843">
                          <w:rPr>
                            <w:color w:val="000000"/>
                            <w:spacing w:val="1"/>
                          </w:rPr>
                          <w:t>tuto</w:t>
                        </w:r>
                        <w:r w:rsidR="002958FF">
                          <w:rPr>
                            <w:color w:val="000000"/>
                            <w:spacing w:val="1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chvíli</w:t>
                        </w:r>
                        <w:r w:rsidRPr="00852843">
                          <w:rPr>
                            <w:color w:val="000000"/>
                          </w:rPr>
                          <w:t xml:space="preserve"> dle</w:t>
                        </w:r>
                        <w:r w:rsidRPr="00852843">
                          <w:rPr>
                            <w:color w:val="000000"/>
                            <w:spacing w:val="1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názoru</w:t>
                        </w:r>
                        <w:r w:rsidRPr="00852843">
                          <w:rPr>
                            <w:color w:val="000000"/>
                            <w:spacing w:val="1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uchazeče</w:t>
                        </w:r>
                        <w:r w:rsidRPr="00852843">
                          <w:rPr>
                            <w:color w:val="000000"/>
                            <w:spacing w:val="1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z</w:t>
                        </w:r>
                        <w:r w:rsidRPr="00852843">
                          <w:rPr>
                            <w:color w:val="000000"/>
                            <w:spacing w:val="3"/>
                          </w:rPr>
                          <w:t xml:space="preserve"> </w:t>
                        </w:r>
                        <w:r w:rsidRPr="00852843">
                          <w:rPr>
                            <w:color w:val="000000"/>
                          </w:rPr>
                          <w:t>pohledu</w:t>
                        </w:r>
                        <w:r w:rsidRPr="00852843">
                          <w:rPr>
                            <w:color w:val="000000"/>
                            <w:spacing w:val="-1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způsobu</w:t>
                        </w:r>
                        <w:r w:rsidRPr="00852843">
                          <w:rPr>
                            <w:color w:val="000000"/>
                            <w:spacing w:val="-2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stanovení</w:t>
                        </w:r>
                        <w:r w:rsidRPr="00852843">
                          <w:rPr>
                            <w:color w:val="000000"/>
                            <w:spacing w:val="2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výměry</w:t>
                        </w:r>
                        <w:r w:rsidRPr="00852843">
                          <w:rPr>
                            <w:color w:val="000000"/>
                            <w:spacing w:val="2"/>
                          </w:rPr>
                          <w:t xml:space="preserve"> </w:t>
                        </w:r>
                        <w:r w:rsidRPr="00852843">
                          <w:rPr>
                            <w:rFonts w:cs="Arial"/>
                            <w:color w:val="000000"/>
                          </w:rPr>
                          <w:t>neplatná</w:t>
                        </w:r>
                      </w:p>
                    </w:tc>
                  </w:tr>
                </w:tbl>
                <w:p w14:paraId="0EB2058E" w14:textId="45C2FE97" w:rsidR="4EE078DB" w:rsidRPr="00852843" w:rsidRDefault="4EE078DB" w:rsidP="7E1E3568">
                  <w:pPr>
                    <w:spacing w:before="25" w:after="0"/>
                    <w:rPr>
                      <w:rFonts w:eastAsia="Arial" w:cs="Arial"/>
                      <w:color w:val="000000" w:themeColor="text1"/>
                      <w:lang w:val="en-US"/>
                    </w:rPr>
                  </w:pPr>
                </w:p>
              </w:tc>
            </w:tr>
            <w:tr w:rsidR="4EE078DB" w:rsidRPr="00852843" w14:paraId="086C915C" w14:textId="77777777" w:rsidTr="00042AA4">
              <w:trPr>
                <w:trHeight w:val="300"/>
              </w:trPr>
              <w:tc>
                <w:tcPr>
                  <w:tcW w:w="8844" w:type="dxa"/>
                </w:tcPr>
                <w:p w14:paraId="2386BD52" w14:textId="0B8F3CB3" w:rsidR="4EE078DB" w:rsidRPr="00852843" w:rsidRDefault="4EE078DB" w:rsidP="7D3CCB29">
                  <w:pPr>
                    <w:spacing w:after="0"/>
                    <w:rPr>
                      <w:rFonts w:eastAsia="Arial" w:cs="Arial"/>
                      <w:color w:val="000000" w:themeColor="text1"/>
                      <w:lang w:val="en-US"/>
                    </w:rPr>
                  </w:pPr>
                </w:p>
              </w:tc>
            </w:tr>
            <w:tr w:rsidR="4EE078DB" w:rsidRPr="00852843" w14:paraId="361DE590" w14:textId="77777777" w:rsidTr="00042AA4">
              <w:trPr>
                <w:trHeight w:val="300"/>
              </w:trPr>
              <w:tc>
                <w:tcPr>
                  <w:tcW w:w="8844" w:type="dxa"/>
                </w:tcPr>
                <w:p w14:paraId="517E847E" w14:textId="5A40D2D2" w:rsidR="4EE078DB" w:rsidRPr="00852843" w:rsidRDefault="4EE078DB" w:rsidP="7E1E3568">
                  <w:pPr>
                    <w:spacing w:before="25" w:after="0"/>
                    <w:rPr>
                      <w:rFonts w:eastAsia="Calibri" w:cs="Calibri"/>
                      <w:i/>
                      <w:iCs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2034BBBD" w14:textId="162A15EF" w:rsidR="008A0424" w:rsidRPr="00852843" w:rsidRDefault="008A0424" w:rsidP="002D2B30">
            <w:pPr>
              <w:widowControl w:val="0"/>
              <w:autoSpaceDE w:val="0"/>
              <w:autoSpaceDN w:val="0"/>
              <w:spacing w:line="247" w:lineRule="exact"/>
            </w:pPr>
          </w:p>
        </w:tc>
      </w:tr>
      <w:tr w:rsidR="00A92B70" w14:paraId="34011E26" w14:textId="77777777" w:rsidTr="34CC1FCE">
        <w:trPr>
          <w:trHeight w:val="300"/>
        </w:trPr>
        <w:tc>
          <w:tcPr>
            <w:tcW w:w="904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1A345273" w:rsidR="00A92B70" w:rsidRPr="00852843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C321D1">
        <w:trPr>
          <w:trHeight w:val="567"/>
        </w:trPr>
        <w:tc>
          <w:tcPr>
            <w:tcW w:w="9044" w:type="dxa"/>
            <w:gridSpan w:val="2"/>
            <w:shd w:val="clear" w:color="auto" w:fill="D9F2D0" w:themeFill="accent6" w:themeFillTint="33"/>
            <w:vAlign w:val="center"/>
          </w:tcPr>
          <w:p w14:paraId="025AF692" w14:textId="0177D911" w:rsidR="00465C97" w:rsidRPr="00852843" w:rsidRDefault="00042AA4" w:rsidP="00465C97">
            <w:pPr>
              <w:jc w:val="center"/>
              <w:rPr>
                <w:b/>
                <w:bCs/>
              </w:rPr>
            </w:pPr>
            <w:r w:rsidRPr="00852843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4CC1FCE">
        <w:trPr>
          <w:trHeight w:val="300"/>
        </w:trPr>
        <w:tc>
          <w:tcPr>
            <w:tcW w:w="9044" w:type="dxa"/>
            <w:gridSpan w:val="2"/>
          </w:tcPr>
          <w:p w14:paraId="6911FD2F" w14:textId="32F6226F" w:rsidR="00987603" w:rsidRDefault="2B603984" w:rsidP="002958FF">
            <w:pPr>
              <w:spacing w:after="160" w:line="257" w:lineRule="auto"/>
              <w:jc w:val="both"/>
              <w:rPr>
                <w:rFonts w:ascii="Arial" w:eastAsia="Arial" w:hAnsi="Arial" w:cs="Arial"/>
              </w:rPr>
            </w:pPr>
            <w:r w:rsidRPr="34CC1FCE">
              <w:rPr>
                <w:rFonts w:ascii="Arial" w:eastAsia="Arial" w:hAnsi="Arial" w:cs="Arial"/>
              </w:rPr>
              <w:t>Zadavatel pro jednozna</w:t>
            </w:r>
            <w:r w:rsidRPr="34CC1FCE">
              <w:rPr>
                <w:rFonts w:ascii="Aptos" w:eastAsia="Aptos" w:hAnsi="Aptos" w:cs="Aptos"/>
              </w:rPr>
              <w:t>č</w:t>
            </w:r>
            <w:r w:rsidRPr="34CC1FCE">
              <w:rPr>
                <w:rFonts w:ascii="Arial" w:eastAsia="Arial" w:hAnsi="Arial" w:cs="Arial"/>
              </w:rPr>
              <w:t xml:space="preserve">nost potvrzuje, </w:t>
            </w:r>
            <w:r w:rsidRPr="34CC1FCE">
              <w:rPr>
                <w:rFonts w:ascii="Aptos" w:eastAsia="Aptos" w:hAnsi="Aptos" w:cs="Aptos"/>
              </w:rPr>
              <w:t>ž</w:t>
            </w:r>
            <w:r w:rsidRPr="34CC1FCE">
              <w:rPr>
                <w:rFonts w:ascii="Arial" w:eastAsia="Arial" w:hAnsi="Arial" w:cs="Arial"/>
              </w:rPr>
              <w:t>e Soupis prac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 xml:space="preserve"> s v</w:t>
            </w:r>
            <w:r w:rsidRPr="34CC1FCE">
              <w:rPr>
                <w:rFonts w:ascii="Aptos" w:eastAsia="Aptos" w:hAnsi="Aptos" w:cs="Aptos"/>
              </w:rPr>
              <w:t>ý</w:t>
            </w:r>
            <w:r w:rsidRPr="34CC1FCE">
              <w:rPr>
                <w:rFonts w:ascii="Arial" w:eastAsia="Arial" w:hAnsi="Arial" w:cs="Arial"/>
              </w:rPr>
              <w:t>kazem v</w:t>
            </w:r>
            <w:r w:rsidRPr="34CC1FCE">
              <w:rPr>
                <w:rFonts w:ascii="Aptos" w:eastAsia="Aptos" w:hAnsi="Aptos" w:cs="Aptos"/>
              </w:rPr>
              <w:t>ý</w:t>
            </w:r>
            <w:r w:rsidRPr="34CC1FCE">
              <w:rPr>
                <w:rFonts w:ascii="Arial" w:eastAsia="Arial" w:hAnsi="Arial" w:cs="Arial"/>
              </w:rPr>
              <w:t>m</w:t>
            </w:r>
            <w:r w:rsidRPr="34CC1FCE">
              <w:rPr>
                <w:rFonts w:ascii="Aptos" w:eastAsia="Aptos" w:hAnsi="Aptos" w:cs="Aptos"/>
              </w:rPr>
              <w:t>ě</w:t>
            </w:r>
            <w:r w:rsidRPr="34CC1FCE">
              <w:rPr>
                <w:rFonts w:ascii="Arial" w:eastAsia="Arial" w:hAnsi="Arial" w:cs="Arial"/>
              </w:rPr>
              <w:t xml:space="preserve">r byl sestaven v souladu s cenovou soustavou </w:t>
            </w:r>
            <w:r w:rsidRPr="34CC1FCE">
              <w:rPr>
                <w:rFonts w:ascii="Aptos" w:eastAsia="Aptos" w:hAnsi="Aptos" w:cs="Aptos"/>
              </w:rPr>
              <w:t>Ú</w:t>
            </w:r>
            <w:r w:rsidRPr="34CC1FCE">
              <w:rPr>
                <w:rFonts w:ascii="Arial" w:eastAsia="Arial" w:hAnsi="Arial" w:cs="Arial"/>
              </w:rPr>
              <w:t>RS CZ a.s. Ve smluvn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>m dokumentu P</w:t>
            </w:r>
            <w:r w:rsidRPr="34CC1FCE">
              <w:rPr>
                <w:rFonts w:ascii="Aptos" w:eastAsia="Aptos" w:hAnsi="Aptos" w:cs="Aptos"/>
              </w:rPr>
              <w:t>ří</w:t>
            </w:r>
            <w:r w:rsidRPr="34CC1FCE">
              <w:rPr>
                <w:rFonts w:ascii="Arial" w:eastAsia="Arial" w:hAnsi="Arial" w:cs="Arial"/>
              </w:rPr>
              <w:t xml:space="preserve">loha </w:t>
            </w:r>
            <w:r w:rsidRPr="34CC1FCE">
              <w:rPr>
                <w:rFonts w:ascii="Aptos" w:eastAsia="Aptos" w:hAnsi="Aptos" w:cs="Aptos"/>
              </w:rPr>
              <w:t>č</w:t>
            </w:r>
            <w:r w:rsidRPr="34CC1FCE">
              <w:rPr>
                <w:rFonts w:ascii="Arial" w:eastAsia="Arial" w:hAnsi="Arial" w:cs="Arial"/>
              </w:rPr>
              <w:t xml:space="preserve">. 2 </w:t>
            </w:r>
            <w:r w:rsidR="00E92B8A">
              <w:rPr>
                <w:rFonts w:ascii="Arial" w:eastAsia="Arial" w:hAnsi="Arial" w:cs="Arial"/>
              </w:rPr>
              <w:t xml:space="preserve">ZD </w:t>
            </w:r>
            <w:r w:rsidRPr="34CC1FCE">
              <w:rPr>
                <w:rFonts w:ascii="Aptos" w:eastAsia="Aptos" w:hAnsi="Aptos" w:cs="Aptos"/>
              </w:rPr>
              <w:t>–</w:t>
            </w:r>
            <w:r w:rsidRPr="34CC1FCE">
              <w:rPr>
                <w:rFonts w:ascii="Arial" w:eastAsia="Arial" w:hAnsi="Arial" w:cs="Arial"/>
              </w:rPr>
              <w:t xml:space="preserve"> P</w:t>
            </w:r>
            <w:r w:rsidRPr="34CC1FCE">
              <w:rPr>
                <w:rFonts w:ascii="Aptos" w:eastAsia="Aptos" w:hAnsi="Aptos" w:cs="Aptos"/>
              </w:rPr>
              <w:t>ří</w:t>
            </w:r>
            <w:r w:rsidRPr="34CC1FCE">
              <w:rPr>
                <w:rFonts w:ascii="Arial" w:eastAsia="Arial" w:hAnsi="Arial" w:cs="Arial"/>
              </w:rPr>
              <w:t>loha k nab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>dce je pro Pod-</w:t>
            </w:r>
            <w:r w:rsidRPr="34CC1FCE">
              <w:rPr>
                <w:rFonts w:ascii="Aptos" w:eastAsia="Aptos" w:hAnsi="Aptos" w:cs="Aptos"/>
              </w:rPr>
              <w:t>č</w:t>
            </w:r>
            <w:r w:rsidRPr="34CC1FCE">
              <w:rPr>
                <w:rFonts w:ascii="Arial" w:eastAsia="Arial" w:hAnsi="Arial" w:cs="Arial"/>
              </w:rPr>
              <w:t>l</w:t>
            </w:r>
            <w:r w:rsidRPr="34CC1FCE">
              <w:rPr>
                <w:rFonts w:ascii="Aptos" w:eastAsia="Aptos" w:hAnsi="Aptos" w:cs="Aptos"/>
              </w:rPr>
              <w:t>á</w:t>
            </w:r>
            <w:r w:rsidRPr="34CC1FCE">
              <w:rPr>
                <w:rFonts w:ascii="Arial" w:eastAsia="Arial" w:hAnsi="Arial" w:cs="Arial"/>
              </w:rPr>
              <w:t>nek 12.3 Smluvn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>ch podm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>nek</w:t>
            </w:r>
            <w:r w:rsidR="00E92B8A" w:rsidRPr="34CC1FCE">
              <w:rPr>
                <w:rFonts w:ascii="Arial" w:eastAsia="Arial" w:hAnsi="Arial" w:cs="Arial"/>
              </w:rPr>
              <w:t xml:space="preserve"> specifikov</w:t>
            </w:r>
            <w:r w:rsidR="00E92B8A" w:rsidRPr="34CC1FCE">
              <w:rPr>
                <w:rFonts w:ascii="Aptos" w:eastAsia="Aptos" w:hAnsi="Aptos" w:cs="Aptos"/>
              </w:rPr>
              <w:t>á</w:t>
            </w:r>
            <w:r w:rsidR="00E92B8A" w:rsidRPr="34CC1FCE">
              <w:rPr>
                <w:rFonts w:ascii="Arial" w:eastAsia="Arial" w:hAnsi="Arial" w:cs="Arial"/>
              </w:rPr>
              <w:t>no</w:t>
            </w:r>
            <w:r w:rsidRPr="34CC1FCE">
              <w:rPr>
                <w:rFonts w:ascii="Arial" w:eastAsia="Arial" w:hAnsi="Arial" w:cs="Arial"/>
              </w:rPr>
              <w:t xml:space="preserve">, </w:t>
            </w:r>
            <w:r w:rsidRPr="34CC1FCE">
              <w:rPr>
                <w:rFonts w:ascii="Aptos" w:eastAsia="Aptos" w:hAnsi="Aptos" w:cs="Aptos"/>
              </w:rPr>
              <w:t>ž</w:t>
            </w:r>
            <w:r w:rsidRPr="34CC1FCE">
              <w:rPr>
                <w:rFonts w:ascii="Arial" w:eastAsia="Arial" w:hAnsi="Arial" w:cs="Arial"/>
              </w:rPr>
              <w:t>e Cenov</w:t>
            </w:r>
            <w:r w:rsidRPr="34CC1FCE">
              <w:rPr>
                <w:rFonts w:ascii="Aptos" w:eastAsia="Aptos" w:hAnsi="Aptos" w:cs="Aptos"/>
              </w:rPr>
              <w:t>á</w:t>
            </w:r>
            <w:r w:rsidRPr="34CC1FCE">
              <w:rPr>
                <w:rFonts w:ascii="Arial" w:eastAsia="Arial" w:hAnsi="Arial" w:cs="Arial"/>
              </w:rPr>
              <w:t xml:space="preserve"> datab</w:t>
            </w:r>
            <w:r w:rsidRPr="34CC1FCE">
              <w:rPr>
                <w:rFonts w:ascii="Aptos" w:eastAsia="Aptos" w:hAnsi="Aptos" w:cs="Aptos"/>
              </w:rPr>
              <w:t>á</w:t>
            </w:r>
            <w:r w:rsidRPr="34CC1FCE">
              <w:rPr>
                <w:rFonts w:ascii="Arial" w:eastAsia="Arial" w:hAnsi="Arial" w:cs="Arial"/>
              </w:rPr>
              <w:t xml:space="preserve">ze </w:t>
            </w:r>
            <w:r w:rsidRPr="34CC1FCE">
              <w:rPr>
                <w:rFonts w:ascii="Aptos" w:eastAsia="Aptos" w:hAnsi="Aptos" w:cs="Aptos"/>
              </w:rPr>
              <w:t>č</w:t>
            </w:r>
            <w:r w:rsidRPr="34CC1FCE">
              <w:rPr>
                <w:rFonts w:ascii="Arial" w:eastAsia="Arial" w:hAnsi="Arial" w:cs="Arial"/>
              </w:rPr>
              <w:t xml:space="preserve">i soustava </w:t>
            </w:r>
            <w:r w:rsidR="00E92B8A">
              <w:rPr>
                <w:rFonts w:ascii="Arial" w:eastAsia="Arial" w:hAnsi="Arial" w:cs="Arial"/>
              </w:rPr>
              <w:t>je</w:t>
            </w:r>
            <w:r w:rsidRPr="34CC1FCE">
              <w:rPr>
                <w:rFonts w:ascii="Arial" w:eastAsia="Arial" w:hAnsi="Arial" w:cs="Arial"/>
              </w:rPr>
              <w:t xml:space="preserve"> Cenov</w:t>
            </w:r>
            <w:r w:rsidRPr="34CC1FCE">
              <w:rPr>
                <w:rFonts w:ascii="Aptos" w:eastAsia="Aptos" w:hAnsi="Aptos" w:cs="Aptos"/>
              </w:rPr>
              <w:t>á</w:t>
            </w:r>
            <w:r w:rsidRPr="34CC1FCE">
              <w:rPr>
                <w:rFonts w:ascii="Arial" w:eastAsia="Arial" w:hAnsi="Arial" w:cs="Arial"/>
              </w:rPr>
              <w:t xml:space="preserve"> soustava </w:t>
            </w:r>
            <w:r w:rsidRPr="34CC1FCE">
              <w:rPr>
                <w:rFonts w:ascii="Aptos" w:eastAsia="Aptos" w:hAnsi="Aptos" w:cs="Aptos"/>
              </w:rPr>
              <w:t>Ú</w:t>
            </w:r>
            <w:r w:rsidRPr="34CC1FCE">
              <w:rPr>
                <w:rFonts w:ascii="Arial" w:eastAsia="Arial" w:hAnsi="Arial" w:cs="Arial"/>
              </w:rPr>
              <w:t>RS CZ a.s., dle katalog</w:t>
            </w:r>
            <w:r w:rsidRPr="34CC1FCE">
              <w:rPr>
                <w:rFonts w:ascii="Aptos" w:eastAsia="Aptos" w:hAnsi="Aptos" w:cs="Aptos"/>
              </w:rPr>
              <w:t>ů</w:t>
            </w:r>
            <w:r w:rsidRPr="34CC1FCE">
              <w:rPr>
                <w:rFonts w:ascii="Arial" w:eastAsia="Arial" w:hAnsi="Arial" w:cs="Arial"/>
              </w:rPr>
              <w:t xml:space="preserve"> popis</w:t>
            </w:r>
            <w:r w:rsidRPr="34CC1FCE">
              <w:rPr>
                <w:rFonts w:ascii="Aptos" w:eastAsia="Aptos" w:hAnsi="Aptos" w:cs="Aptos"/>
              </w:rPr>
              <w:t>ů</w:t>
            </w:r>
            <w:r w:rsidRPr="34CC1FCE">
              <w:rPr>
                <w:rFonts w:ascii="Arial" w:eastAsia="Arial" w:hAnsi="Arial" w:cs="Arial"/>
              </w:rPr>
              <w:t xml:space="preserve"> a sm</w:t>
            </w:r>
            <w:r w:rsidRPr="34CC1FCE">
              <w:rPr>
                <w:rFonts w:ascii="Aptos" w:eastAsia="Aptos" w:hAnsi="Aptos" w:cs="Aptos"/>
              </w:rPr>
              <w:t>ě</w:t>
            </w:r>
            <w:r w:rsidRPr="34CC1FCE">
              <w:rPr>
                <w:rFonts w:ascii="Arial" w:eastAsia="Arial" w:hAnsi="Arial" w:cs="Arial"/>
              </w:rPr>
              <w:t>rn</w:t>
            </w:r>
            <w:r w:rsidRPr="34CC1FCE">
              <w:rPr>
                <w:rFonts w:ascii="Aptos" w:eastAsia="Aptos" w:hAnsi="Aptos" w:cs="Aptos"/>
              </w:rPr>
              <w:t>ý</w:t>
            </w:r>
            <w:r w:rsidRPr="34CC1FCE">
              <w:rPr>
                <w:rFonts w:ascii="Arial" w:eastAsia="Arial" w:hAnsi="Arial" w:cs="Arial"/>
              </w:rPr>
              <w:t xml:space="preserve">ch cen </w:t>
            </w:r>
            <w:r w:rsidRPr="34CC1FCE">
              <w:rPr>
                <w:rFonts w:ascii="Aptos" w:eastAsia="Aptos" w:hAnsi="Aptos" w:cs="Aptos"/>
              </w:rPr>
              <w:t>Ú</w:t>
            </w:r>
            <w:r w:rsidRPr="34CC1FCE">
              <w:rPr>
                <w:rFonts w:ascii="Arial" w:eastAsia="Arial" w:hAnsi="Arial" w:cs="Arial"/>
              </w:rPr>
              <w:t>RS. Jednotliv</w:t>
            </w:r>
            <w:r w:rsidRPr="34CC1FCE">
              <w:rPr>
                <w:rFonts w:ascii="Aptos" w:eastAsia="Aptos" w:hAnsi="Aptos" w:cs="Aptos"/>
              </w:rPr>
              <w:t>é</w:t>
            </w:r>
            <w:r w:rsidRPr="34CC1FCE">
              <w:rPr>
                <w:rFonts w:ascii="Arial" w:eastAsia="Arial" w:hAnsi="Arial" w:cs="Arial"/>
              </w:rPr>
              <w:t xml:space="preserve"> polo</w:t>
            </w:r>
            <w:r w:rsidRPr="34CC1FCE">
              <w:rPr>
                <w:rFonts w:ascii="Aptos" w:eastAsia="Aptos" w:hAnsi="Aptos" w:cs="Aptos"/>
              </w:rPr>
              <w:t>ž</w:t>
            </w:r>
            <w:r w:rsidRPr="34CC1FCE">
              <w:rPr>
                <w:rFonts w:ascii="Arial" w:eastAsia="Arial" w:hAnsi="Arial" w:cs="Arial"/>
              </w:rPr>
              <w:t>ky mus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 xml:space="preserve"> m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>t uvedeny dev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>tim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>stn</w:t>
            </w:r>
            <w:r w:rsidRPr="34CC1FCE">
              <w:rPr>
                <w:rFonts w:ascii="Aptos" w:eastAsia="Aptos" w:hAnsi="Aptos" w:cs="Aptos"/>
              </w:rPr>
              <w:t>é</w:t>
            </w:r>
            <w:r w:rsidRPr="34CC1FCE">
              <w:rPr>
                <w:rFonts w:ascii="Arial" w:eastAsia="Arial" w:hAnsi="Arial" w:cs="Arial"/>
              </w:rPr>
              <w:t xml:space="preserve"> k</w:t>
            </w:r>
            <w:r w:rsidRPr="34CC1FCE">
              <w:rPr>
                <w:rFonts w:ascii="Aptos" w:eastAsia="Aptos" w:hAnsi="Aptos" w:cs="Aptos"/>
              </w:rPr>
              <w:t>ó</w:t>
            </w:r>
            <w:r w:rsidRPr="34CC1FCE">
              <w:rPr>
                <w:rFonts w:ascii="Arial" w:eastAsia="Arial" w:hAnsi="Arial" w:cs="Arial"/>
              </w:rPr>
              <w:t>dy TSKP, kter</w:t>
            </w:r>
            <w:r w:rsidRPr="34CC1FCE">
              <w:rPr>
                <w:rFonts w:ascii="Aptos" w:eastAsia="Aptos" w:hAnsi="Aptos" w:cs="Aptos"/>
              </w:rPr>
              <w:t>é</w:t>
            </w:r>
            <w:r w:rsidRPr="34CC1FCE">
              <w:rPr>
                <w:rFonts w:ascii="Arial" w:eastAsia="Arial" w:hAnsi="Arial" w:cs="Arial"/>
              </w:rPr>
              <w:t xml:space="preserve"> jednozna</w:t>
            </w:r>
            <w:r w:rsidRPr="34CC1FCE">
              <w:rPr>
                <w:rFonts w:ascii="Aptos" w:eastAsia="Aptos" w:hAnsi="Aptos" w:cs="Aptos"/>
              </w:rPr>
              <w:t>č</w:t>
            </w:r>
            <w:r w:rsidRPr="34CC1FCE">
              <w:rPr>
                <w:rFonts w:ascii="Arial" w:eastAsia="Arial" w:hAnsi="Arial" w:cs="Arial"/>
              </w:rPr>
              <w:t>n</w:t>
            </w:r>
            <w:r w:rsidRPr="34CC1FCE">
              <w:rPr>
                <w:rFonts w:ascii="Aptos" w:eastAsia="Aptos" w:hAnsi="Aptos" w:cs="Aptos"/>
              </w:rPr>
              <w:t>ě</w:t>
            </w:r>
            <w:r w:rsidRPr="34CC1FCE">
              <w:rPr>
                <w:rFonts w:ascii="Arial" w:eastAsia="Arial" w:hAnsi="Arial" w:cs="Arial"/>
              </w:rPr>
              <w:t xml:space="preserve"> specifikuj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 xml:space="preserve"> dodac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 xml:space="preserve"> a kvalitativn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 xml:space="preserve"> podm</w:t>
            </w:r>
            <w:r w:rsidRPr="34CC1FCE">
              <w:rPr>
                <w:rFonts w:ascii="Aptos" w:eastAsia="Aptos" w:hAnsi="Aptos" w:cs="Aptos"/>
              </w:rPr>
              <w:t>í</w:t>
            </w:r>
            <w:r w:rsidRPr="34CC1FCE">
              <w:rPr>
                <w:rFonts w:ascii="Arial" w:eastAsia="Arial" w:hAnsi="Arial" w:cs="Arial"/>
              </w:rPr>
              <w:t>nky oce</w:t>
            </w:r>
            <w:r w:rsidRPr="34CC1FCE">
              <w:rPr>
                <w:rFonts w:ascii="Aptos" w:eastAsia="Aptos" w:hAnsi="Aptos" w:cs="Aptos"/>
              </w:rPr>
              <w:t>ň</w:t>
            </w:r>
            <w:r w:rsidRPr="34CC1FCE">
              <w:rPr>
                <w:rFonts w:ascii="Arial" w:eastAsia="Arial" w:hAnsi="Arial" w:cs="Arial"/>
              </w:rPr>
              <w:t>ovan</w:t>
            </w:r>
            <w:r w:rsidRPr="34CC1FCE">
              <w:rPr>
                <w:rFonts w:ascii="Aptos" w:eastAsia="Aptos" w:hAnsi="Aptos" w:cs="Aptos"/>
              </w:rPr>
              <w:t>ý</w:t>
            </w:r>
            <w:r w:rsidRPr="34CC1FCE">
              <w:rPr>
                <w:rFonts w:ascii="Arial" w:eastAsia="Arial" w:hAnsi="Arial" w:cs="Arial"/>
              </w:rPr>
              <w:t>ch polo</w:t>
            </w:r>
            <w:r w:rsidRPr="34CC1FCE">
              <w:rPr>
                <w:rFonts w:ascii="Aptos" w:eastAsia="Aptos" w:hAnsi="Aptos" w:cs="Aptos"/>
              </w:rPr>
              <w:t>ž</w:t>
            </w:r>
            <w:r w:rsidRPr="34CC1FCE">
              <w:rPr>
                <w:rFonts w:ascii="Arial" w:eastAsia="Arial" w:hAnsi="Arial" w:cs="Arial"/>
              </w:rPr>
              <w:t xml:space="preserve">ek. </w:t>
            </w:r>
          </w:p>
          <w:p w14:paraId="4EFC8EAE" w14:textId="21B6ADD2" w:rsidR="00987603" w:rsidRPr="00852843" w:rsidRDefault="00043CF3" w:rsidP="002958FF">
            <w:pPr>
              <w:spacing w:after="160" w:line="257" w:lineRule="auto"/>
              <w:jc w:val="both"/>
            </w:pPr>
            <w:r>
              <w:rPr>
                <w:rFonts w:ascii="Arial" w:eastAsia="Arial" w:hAnsi="Arial" w:cs="Arial"/>
              </w:rPr>
              <w:t xml:space="preserve">Zadavatel </w:t>
            </w:r>
            <w:r w:rsidR="003F1111">
              <w:rPr>
                <w:rFonts w:ascii="Arial" w:eastAsia="Arial" w:hAnsi="Arial" w:cs="Arial"/>
              </w:rPr>
              <w:t xml:space="preserve">k Metodice měření pro vysvětlení uvádí, že </w:t>
            </w:r>
            <w:r w:rsidR="003F1111" w:rsidRPr="003F1111">
              <w:rPr>
                <w:rFonts w:ascii="Arial" w:eastAsia="Arial" w:hAnsi="Arial" w:cs="Arial"/>
              </w:rPr>
              <w:t>Metodika měření je metodickým textem, jak nastavit pravidla měření</w:t>
            </w:r>
            <w:r w:rsidR="003F1111">
              <w:rPr>
                <w:rFonts w:ascii="Arial" w:eastAsia="Arial" w:hAnsi="Arial" w:cs="Arial"/>
              </w:rPr>
              <w:t xml:space="preserve">, </w:t>
            </w:r>
            <w:r w:rsidR="003F1111" w:rsidRPr="003F1111">
              <w:rPr>
                <w:rFonts w:ascii="Arial" w:eastAsia="Arial" w:hAnsi="Arial" w:cs="Arial"/>
              </w:rPr>
              <w:t>kter</w:t>
            </w:r>
            <w:r w:rsidR="003F1111">
              <w:rPr>
                <w:rFonts w:ascii="Arial" w:eastAsia="Arial" w:hAnsi="Arial" w:cs="Arial"/>
              </w:rPr>
              <w:t>ý</w:t>
            </w:r>
            <w:r w:rsidR="003F1111" w:rsidRPr="003F1111">
              <w:rPr>
                <w:rFonts w:ascii="Arial" w:eastAsia="Arial" w:hAnsi="Arial" w:cs="Arial"/>
              </w:rPr>
              <w:t xml:space="preserve"> je potřeba vykládat v kontextu dalších smluvních dokumentů, které jsou nadřazené. Metodika měření tedy přímo nedefinuje konkrétní cenovou soustavu</w:t>
            </w:r>
            <w:r w:rsidR="003F1111">
              <w:rPr>
                <w:rFonts w:ascii="Arial" w:eastAsia="Arial" w:hAnsi="Arial" w:cs="Arial"/>
              </w:rPr>
              <w:t>, která má být použita,</w:t>
            </w:r>
            <w:r w:rsidR="003F1111" w:rsidRPr="003F1111">
              <w:rPr>
                <w:rFonts w:ascii="Arial" w:eastAsia="Arial" w:hAnsi="Arial" w:cs="Arial"/>
              </w:rPr>
              <w:t xml:space="preserve"> ale uvádí příklady a odkazuje na soulad se Soupisem prací s výkazem výměr.</w:t>
            </w:r>
            <w:r w:rsidR="003F1111">
              <w:rPr>
                <w:rFonts w:ascii="Arial" w:eastAsia="Arial" w:hAnsi="Arial" w:cs="Arial"/>
              </w:rPr>
              <w:t xml:space="preserve"> </w:t>
            </w:r>
            <w:r w:rsidR="003F1111" w:rsidRPr="003F1111">
              <w:rPr>
                <w:rFonts w:ascii="Arial" w:eastAsia="Arial" w:hAnsi="Arial" w:cs="Arial"/>
              </w:rPr>
              <w:t xml:space="preserve">Metodika měření </w:t>
            </w:r>
            <w:r w:rsidR="00371CEA">
              <w:rPr>
                <w:rFonts w:ascii="Arial" w:eastAsia="Arial" w:hAnsi="Arial" w:cs="Arial"/>
              </w:rPr>
              <w:t xml:space="preserve">v čl. 6.1 </w:t>
            </w:r>
            <w:r w:rsidR="003F1111" w:rsidRPr="003F1111">
              <w:rPr>
                <w:rFonts w:ascii="Arial" w:eastAsia="Arial" w:hAnsi="Arial" w:cs="Arial"/>
              </w:rPr>
              <w:t>předpokládá, že Zhotovitel dopracuje návrh Skupin měření položek a způsob jejich měření a pře</w:t>
            </w:r>
            <w:r w:rsidR="00F70AF7">
              <w:rPr>
                <w:rFonts w:ascii="Arial" w:eastAsia="Arial" w:hAnsi="Arial" w:cs="Arial"/>
              </w:rPr>
              <w:t>d</w:t>
            </w:r>
            <w:r w:rsidR="003F1111" w:rsidRPr="003F1111">
              <w:rPr>
                <w:rFonts w:ascii="Arial" w:eastAsia="Arial" w:hAnsi="Arial" w:cs="Arial"/>
              </w:rPr>
              <w:t>loží Správci stavby k odsouhlasení.</w:t>
            </w:r>
            <w:r w:rsidR="003F1111">
              <w:rPr>
                <w:rFonts w:ascii="Arial" w:eastAsia="Arial" w:hAnsi="Arial" w:cs="Arial"/>
              </w:rPr>
              <w:t xml:space="preserve"> </w:t>
            </w:r>
            <w:r w:rsidR="2B603984" w:rsidRPr="34CC1FCE">
              <w:rPr>
                <w:rFonts w:ascii="Arial" w:eastAsia="Arial" w:hAnsi="Arial" w:cs="Arial"/>
              </w:rPr>
              <w:t>T</w:t>
            </w:r>
            <w:r w:rsidR="2B603984" w:rsidRPr="34CC1FCE">
              <w:rPr>
                <w:rFonts w:ascii="Aptos" w:eastAsia="Aptos" w:hAnsi="Aptos" w:cs="Aptos"/>
              </w:rPr>
              <w:t>í</w:t>
            </w:r>
            <w:r w:rsidR="2B603984" w:rsidRPr="34CC1FCE">
              <w:rPr>
                <w:rFonts w:ascii="Arial" w:eastAsia="Arial" w:hAnsi="Arial" w:cs="Arial"/>
              </w:rPr>
              <w:t>m dojde tak</w:t>
            </w:r>
            <w:r w:rsidR="2B603984" w:rsidRPr="34CC1FCE">
              <w:rPr>
                <w:rFonts w:ascii="Aptos" w:eastAsia="Aptos" w:hAnsi="Aptos" w:cs="Aptos"/>
              </w:rPr>
              <w:t>é</w:t>
            </w:r>
            <w:r w:rsidR="2B603984" w:rsidRPr="34CC1FCE">
              <w:rPr>
                <w:rFonts w:ascii="Arial" w:eastAsia="Arial" w:hAnsi="Arial" w:cs="Arial"/>
              </w:rPr>
              <w:t xml:space="preserve"> k up</w:t>
            </w:r>
            <w:r w:rsidR="2B603984" w:rsidRPr="34CC1FCE">
              <w:rPr>
                <w:rFonts w:ascii="Aptos" w:eastAsia="Aptos" w:hAnsi="Aptos" w:cs="Aptos"/>
              </w:rPr>
              <w:t>ř</w:t>
            </w:r>
            <w:r w:rsidR="2B603984" w:rsidRPr="34CC1FCE">
              <w:rPr>
                <w:rFonts w:ascii="Arial" w:eastAsia="Arial" w:hAnsi="Arial" w:cs="Arial"/>
              </w:rPr>
              <w:t>esn</w:t>
            </w:r>
            <w:r w:rsidR="2B603984" w:rsidRPr="34CC1FCE">
              <w:rPr>
                <w:rFonts w:ascii="Aptos" w:eastAsia="Aptos" w:hAnsi="Aptos" w:cs="Aptos"/>
              </w:rPr>
              <w:t>ě</w:t>
            </w:r>
            <w:r w:rsidR="2B603984" w:rsidRPr="34CC1FCE">
              <w:rPr>
                <w:rFonts w:ascii="Arial" w:eastAsia="Arial" w:hAnsi="Arial" w:cs="Arial"/>
              </w:rPr>
              <w:t>n</w:t>
            </w:r>
            <w:r w:rsidR="2B603984" w:rsidRPr="34CC1FCE">
              <w:rPr>
                <w:rFonts w:ascii="Aptos" w:eastAsia="Aptos" w:hAnsi="Aptos" w:cs="Aptos"/>
              </w:rPr>
              <w:t>í</w:t>
            </w:r>
            <w:r w:rsidR="2B603984" w:rsidRPr="34CC1FCE">
              <w:rPr>
                <w:rFonts w:ascii="Arial" w:eastAsia="Arial" w:hAnsi="Arial" w:cs="Arial"/>
              </w:rPr>
              <w:t xml:space="preserve"> zp</w:t>
            </w:r>
            <w:r w:rsidR="2B603984" w:rsidRPr="34CC1FCE">
              <w:rPr>
                <w:rFonts w:ascii="Aptos" w:eastAsia="Aptos" w:hAnsi="Aptos" w:cs="Aptos"/>
              </w:rPr>
              <w:t>ů</w:t>
            </w:r>
            <w:r w:rsidR="2B603984" w:rsidRPr="34CC1FCE">
              <w:rPr>
                <w:rFonts w:ascii="Arial" w:eastAsia="Arial" w:hAnsi="Arial" w:cs="Arial"/>
              </w:rPr>
              <w:t>sobu stanoven</w:t>
            </w:r>
            <w:r w:rsidR="2B603984" w:rsidRPr="34CC1FCE">
              <w:rPr>
                <w:rFonts w:ascii="Aptos" w:eastAsia="Aptos" w:hAnsi="Aptos" w:cs="Aptos"/>
              </w:rPr>
              <w:t>í</w:t>
            </w:r>
            <w:r w:rsidR="2B603984" w:rsidRPr="34CC1FCE">
              <w:rPr>
                <w:rFonts w:ascii="Arial" w:eastAsia="Arial" w:hAnsi="Arial" w:cs="Arial"/>
              </w:rPr>
              <w:t xml:space="preserve"> v</w:t>
            </w:r>
            <w:r w:rsidR="2B603984" w:rsidRPr="34CC1FCE">
              <w:rPr>
                <w:rFonts w:ascii="Aptos" w:eastAsia="Aptos" w:hAnsi="Aptos" w:cs="Aptos"/>
              </w:rPr>
              <w:t>ý</w:t>
            </w:r>
            <w:r w:rsidR="2B603984" w:rsidRPr="34CC1FCE">
              <w:rPr>
                <w:rFonts w:ascii="Arial" w:eastAsia="Arial" w:hAnsi="Arial" w:cs="Arial"/>
              </w:rPr>
              <w:t>m</w:t>
            </w:r>
            <w:r w:rsidR="2B603984" w:rsidRPr="34CC1FCE">
              <w:rPr>
                <w:rFonts w:ascii="Aptos" w:eastAsia="Aptos" w:hAnsi="Aptos" w:cs="Aptos"/>
              </w:rPr>
              <w:t>ě</w:t>
            </w:r>
            <w:r w:rsidR="2B603984" w:rsidRPr="34CC1FCE">
              <w:rPr>
                <w:rFonts w:ascii="Arial" w:eastAsia="Arial" w:hAnsi="Arial" w:cs="Arial"/>
              </w:rPr>
              <w:t>ry pro dan</w:t>
            </w:r>
            <w:r w:rsidR="2B603984" w:rsidRPr="34CC1FCE">
              <w:rPr>
                <w:rFonts w:ascii="Aptos" w:eastAsia="Aptos" w:hAnsi="Aptos" w:cs="Aptos"/>
              </w:rPr>
              <w:t>é</w:t>
            </w:r>
            <w:r w:rsidR="2B603984" w:rsidRPr="34CC1FCE">
              <w:rPr>
                <w:rFonts w:ascii="Arial" w:eastAsia="Arial" w:hAnsi="Arial" w:cs="Arial"/>
              </w:rPr>
              <w:t xml:space="preserve"> polo</w:t>
            </w:r>
            <w:r w:rsidR="2B603984" w:rsidRPr="34CC1FCE">
              <w:rPr>
                <w:rFonts w:ascii="Aptos" w:eastAsia="Aptos" w:hAnsi="Aptos" w:cs="Aptos"/>
              </w:rPr>
              <w:t>ž</w:t>
            </w:r>
            <w:r w:rsidR="2B603984" w:rsidRPr="34CC1FCE">
              <w:rPr>
                <w:rFonts w:ascii="Arial" w:eastAsia="Arial" w:hAnsi="Arial" w:cs="Arial"/>
              </w:rPr>
              <w:t>ky</w:t>
            </w:r>
            <w:r w:rsidR="000530BD">
              <w:rPr>
                <w:rFonts w:ascii="Arial" w:eastAsia="Arial" w:hAnsi="Arial" w:cs="Arial"/>
              </w:rPr>
              <w:t xml:space="preserve"> tak, aby byl v souladu se shora uvedeným, tj. aby měření vycházelo z Cenové soustavy ÚRS CZ a.s.</w:t>
            </w:r>
          </w:p>
          <w:p w14:paraId="25849A04" w14:textId="64CF4007" w:rsidR="00987603" w:rsidRPr="00852843" w:rsidRDefault="00987603" w:rsidP="32761AB2">
            <w:pPr>
              <w:spacing w:line="0" w:lineRule="atLeast"/>
              <w:rPr>
                <w:color w:val="FF0000"/>
              </w:rPr>
            </w:pPr>
          </w:p>
        </w:tc>
      </w:tr>
      <w:tr w:rsidR="00465C97" w14:paraId="2972FBC8" w14:textId="77777777" w:rsidTr="00C321D1">
        <w:trPr>
          <w:trHeight w:val="524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852843" w:rsidRDefault="00465C97" w:rsidP="00465C97">
            <w:pPr>
              <w:rPr>
                <w:b/>
                <w:bCs/>
              </w:rPr>
            </w:pPr>
            <w:r w:rsidRPr="00852843">
              <w:rPr>
                <w:b/>
                <w:bCs/>
              </w:rPr>
              <w:t>Revize Projektové dokumentace</w:t>
            </w:r>
          </w:p>
        </w:tc>
        <w:tc>
          <w:tcPr>
            <w:tcW w:w="5505" w:type="dxa"/>
            <w:vAlign w:val="center"/>
          </w:tcPr>
          <w:p w14:paraId="4ED701F5" w14:textId="43F0C143" w:rsidR="00465C97" w:rsidRPr="00852843" w:rsidRDefault="00042AA4" w:rsidP="00A92B70">
            <w:r w:rsidRPr="00852843">
              <w:t>NE</w:t>
            </w:r>
          </w:p>
        </w:tc>
      </w:tr>
      <w:tr w:rsidR="00465C97" w14:paraId="725C6F24" w14:textId="77777777" w:rsidTr="00C321D1">
        <w:trPr>
          <w:trHeight w:val="560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852843" w:rsidRDefault="00465C97" w:rsidP="00465C97">
            <w:pPr>
              <w:rPr>
                <w:b/>
                <w:bCs/>
              </w:rPr>
            </w:pPr>
            <w:r w:rsidRPr="00852843">
              <w:rPr>
                <w:b/>
                <w:bCs/>
              </w:rPr>
              <w:t>Revize SPSVV</w:t>
            </w:r>
          </w:p>
        </w:tc>
        <w:tc>
          <w:tcPr>
            <w:tcW w:w="5505" w:type="dxa"/>
            <w:tcBorders>
              <w:bottom w:val="single" w:sz="4" w:space="0" w:color="auto"/>
            </w:tcBorders>
            <w:vAlign w:val="center"/>
          </w:tcPr>
          <w:p w14:paraId="752A49C1" w14:textId="6BEF7F56" w:rsidR="00465C97" w:rsidRPr="00852843" w:rsidRDefault="00042AA4" w:rsidP="00A92B70">
            <w:r w:rsidRPr="00852843">
              <w:t>NE</w:t>
            </w:r>
          </w:p>
        </w:tc>
      </w:tr>
    </w:tbl>
    <w:p w14:paraId="4550806C" w14:textId="348B9B16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85B52" w14:textId="77777777" w:rsidR="00AF4B47" w:rsidRDefault="00AF4B47" w:rsidP="00A92B70">
      <w:pPr>
        <w:spacing w:after="0" w:line="240" w:lineRule="auto"/>
      </w:pPr>
      <w:r>
        <w:separator/>
      </w:r>
    </w:p>
  </w:endnote>
  <w:endnote w:type="continuationSeparator" w:id="0">
    <w:p w14:paraId="2BD23E79" w14:textId="77777777" w:rsidR="00AF4B47" w:rsidRDefault="00AF4B47" w:rsidP="00A92B70">
      <w:pPr>
        <w:spacing w:after="0" w:line="240" w:lineRule="auto"/>
      </w:pPr>
      <w:r>
        <w:continuationSeparator/>
      </w:r>
    </w:p>
  </w:endnote>
  <w:endnote w:type="continuationNotice" w:id="1">
    <w:p w14:paraId="6F147176" w14:textId="77777777" w:rsidR="00AF4B47" w:rsidRDefault="00AF4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06430F7F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="00F70AF7">
              <w:rPr>
                <w:b/>
                <w:bCs/>
                <w:noProof/>
                <w:sz w:val="18"/>
                <w:szCs w:val="18"/>
              </w:rPr>
              <w:t>1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="00F70AF7">
              <w:rPr>
                <w:b/>
                <w:bCs/>
                <w:noProof/>
                <w:sz w:val="18"/>
                <w:szCs w:val="18"/>
              </w:rPr>
              <w:t>1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E500F" w14:textId="77777777" w:rsidR="00AF4B47" w:rsidRDefault="00AF4B47" w:rsidP="00A92B70">
      <w:pPr>
        <w:spacing w:after="0" w:line="240" w:lineRule="auto"/>
      </w:pPr>
      <w:r>
        <w:separator/>
      </w:r>
    </w:p>
  </w:footnote>
  <w:footnote w:type="continuationSeparator" w:id="0">
    <w:p w14:paraId="35E10369" w14:textId="77777777" w:rsidR="00AF4B47" w:rsidRDefault="00AF4B47" w:rsidP="00A92B70">
      <w:pPr>
        <w:spacing w:after="0" w:line="240" w:lineRule="auto"/>
      </w:pPr>
      <w:r>
        <w:continuationSeparator/>
      </w:r>
    </w:p>
  </w:footnote>
  <w:footnote w:type="continuationNotice" w:id="1">
    <w:p w14:paraId="5D66E7C7" w14:textId="77777777" w:rsidR="00AF4B47" w:rsidRDefault="00AF4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" w15:restartNumberingAfterBreak="0">
    <w:nsid w:val="631D16A0"/>
    <w:multiLevelType w:val="hybridMultilevel"/>
    <w:tmpl w:val="5C4C2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91669">
    <w:abstractNumId w:val="0"/>
  </w:num>
  <w:num w:numId="2" w16cid:durableId="1739668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97"/>
    <w:rsid w:val="00003636"/>
    <w:rsid w:val="00010022"/>
    <w:rsid w:val="000238EB"/>
    <w:rsid w:val="00025F4B"/>
    <w:rsid w:val="000355BB"/>
    <w:rsid w:val="00041479"/>
    <w:rsid w:val="00042AA4"/>
    <w:rsid w:val="00043CF3"/>
    <w:rsid w:val="00045E59"/>
    <w:rsid w:val="000530BD"/>
    <w:rsid w:val="00053F81"/>
    <w:rsid w:val="00060103"/>
    <w:rsid w:val="00076450"/>
    <w:rsid w:val="00082CCD"/>
    <w:rsid w:val="00092E34"/>
    <w:rsid w:val="000A1E07"/>
    <w:rsid w:val="000E0224"/>
    <w:rsid w:val="000E11AB"/>
    <w:rsid w:val="00102F42"/>
    <w:rsid w:val="00113030"/>
    <w:rsid w:val="001305F0"/>
    <w:rsid w:val="0014282C"/>
    <w:rsid w:val="00154141"/>
    <w:rsid w:val="00156D94"/>
    <w:rsid w:val="001649DF"/>
    <w:rsid w:val="0017188A"/>
    <w:rsid w:val="00187894"/>
    <w:rsid w:val="00197561"/>
    <w:rsid w:val="001C110D"/>
    <w:rsid w:val="001C4AF0"/>
    <w:rsid w:val="001D1A0E"/>
    <w:rsid w:val="002073E4"/>
    <w:rsid w:val="00214929"/>
    <w:rsid w:val="0021689E"/>
    <w:rsid w:val="002207B3"/>
    <w:rsid w:val="00237F81"/>
    <w:rsid w:val="00252CD7"/>
    <w:rsid w:val="0025304E"/>
    <w:rsid w:val="0025431A"/>
    <w:rsid w:val="00263089"/>
    <w:rsid w:val="0028070D"/>
    <w:rsid w:val="00290D87"/>
    <w:rsid w:val="0029146F"/>
    <w:rsid w:val="002949CE"/>
    <w:rsid w:val="00294BEA"/>
    <w:rsid w:val="002958FF"/>
    <w:rsid w:val="002A0FE3"/>
    <w:rsid w:val="002C6FA3"/>
    <w:rsid w:val="002D2B30"/>
    <w:rsid w:val="002D64BD"/>
    <w:rsid w:val="002E3BDC"/>
    <w:rsid w:val="00300781"/>
    <w:rsid w:val="003151C6"/>
    <w:rsid w:val="00316471"/>
    <w:rsid w:val="00325D8E"/>
    <w:rsid w:val="00330E49"/>
    <w:rsid w:val="0034138E"/>
    <w:rsid w:val="00343FB0"/>
    <w:rsid w:val="00355BCA"/>
    <w:rsid w:val="00371CEA"/>
    <w:rsid w:val="003773E9"/>
    <w:rsid w:val="0038150A"/>
    <w:rsid w:val="00383489"/>
    <w:rsid w:val="00387169"/>
    <w:rsid w:val="003937CE"/>
    <w:rsid w:val="003A3A28"/>
    <w:rsid w:val="003A7427"/>
    <w:rsid w:val="003C59FE"/>
    <w:rsid w:val="003D78CC"/>
    <w:rsid w:val="003E7325"/>
    <w:rsid w:val="003E7732"/>
    <w:rsid w:val="003F1111"/>
    <w:rsid w:val="003F7D2E"/>
    <w:rsid w:val="004029FC"/>
    <w:rsid w:val="004141B1"/>
    <w:rsid w:val="00442AC9"/>
    <w:rsid w:val="00445F78"/>
    <w:rsid w:val="00456818"/>
    <w:rsid w:val="0046190B"/>
    <w:rsid w:val="00461C63"/>
    <w:rsid w:val="00465C97"/>
    <w:rsid w:val="00476654"/>
    <w:rsid w:val="00476914"/>
    <w:rsid w:val="004B210A"/>
    <w:rsid w:val="004B29F1"/>
    <w:rsid w:val="004C7FF8"/>
    <w:rsid w:val="004D2472"/>
    <w:rsid w:val="004D3E75"/>
    <w:rsid w:val="004E6676"/>
    <w:rsid w:val="005046F7"/>
    <w:rsid w:val="00512D88"/>
    <w:rsid w:val="00513B8D"/>
    <w:rsid w:val="00516A2C"/>
    <w:rsid w:val="0054490C"/>
    <w:rsid w:val="0056052A"/>
    <w:rsid w:val="005657A9"/>
    <w:rsid w:val="005716C5"/>
    <w:rsid w:val="005A2D12"/>
    <w:rsid w:val="005B46C6"/>
    <w:rsid w:val="005D5CB4"/>
    <w:rsid w:val="005F68F3"/>
    <w:rsid w:val="006173D5"/>
    <w:rsid w:val="006222C4"/>
    <w:rsid w:val="00651C40"/>
    <w:rsid w:val="00674661"/>
    <w:rsid w:val="00676949"/>
    <w:rsid w:val="00680E3D"/>
    <w:rsid w:val="006869CF"/>
    <w:rsid w:val="00686A25"/>
    <w:rsid w:val="006C3EF9"/>
    <w:rsid w:val="006E1169"/>
    <w:rsid w:val="006E2348"/>
    <w:rsid w:val="006F59BD"/>
    <w:rsid w:val="00710C84"/>
    <w:rsid w:val="00712426"/>
    <w:rsid w:val="00720F47"/>
    <w:rsid w:val="007413DE"/>
    <w:rsid w:val="007542F0"/>
    <w:rsid w:val="0077060A"/>
    <w:rsid w:val="00770B9E"/>
    <w:rsid w:val="00773B1F"/>
    <w:rsid w:val="007C0BB8"/>
    <w:rsid w:val="007D5DFA"/>
    <w:rsid w:val="007E4697"/>
    <w:rsid w:val="007E64B7"/>
    <w:rsid w:val="007F1C86"/>
    <w:rsid w:val="0081231A"/>
    <w:rsid w:val="00813FDF"/>
    <w:rsid w:val="00816742"/>
    <w:rsid w:val="00816F6F"/>
    <w:rsid w:val="00820212"/>
    <w:rsid w:val="00826286"/>
    <w:rsid w:val="00827FB8"/>
    <w:rsid w:val="00843BD9"/>
    <w:rsid w:val="0084621F"/>
    <w:rsid w:val="00852843"/>
    <w:rsid w:val="00860716"/>
    <w:rsid w:val="0087173F"/>
    <w:rsid w:val="00873024"/>
    <w:rsid w:val="008764FC"/>
    <w:rsid w:val="00877A20"/>
    <w:rsid w:val="00877A8A"/>
    <w:rsid w:val="00881835"/>
    <w:rsid w:val="00882FBB"/>
    <w:rsid w:val="00884630"/>
    <w:rsid w:val="008A0424"/>
    <w:rsid w:val="008A1C4B"/>
    <w:rsid w:val="008B0A17"/>
    <w:rsid w:val="008D7F28"/>
    <w:rsid w:val="008F3633"/>
    <w:rsid w:val="00901CEB"/>
    <w:rsid w:val="00906C83"/>
    <w:rsid w:val="00921934"/>
    <w:rsid w:val="00931958"/>
    <w:rsid w:val="00946A98"/>
    <w:rsid w:val="009614EB"/>
    <w:rsid w:val="00970720"/>
    <w:rsid w:val="00976D65"/>
    <w:rsid w:val="0098460F"/>
    <w:rsid w:val="0098651C"/>
    <w:rsid w:val="00987603"/>
    <w:rsid w:val="00987E95"/>
    <w:rsid w:val="009925A5"/>
    <w:rsid w:val="009B3122"/>
    <w:rsid w:val="009B41BC"/>
    <w:rsid w:val="009C0B30"/>
    <w:rsid w:val="009E7B7A"/>
    <w:rsid w:val="00A068E7"/>
    <w:rsid w:val="00A11C59"/>
    <w:rsid w:val="00A167D5"/>
    <w:rsid w:val="00A402E9"/>
    <w:rsid w:val="00A50DCB"/>
    <w:rsid w:val="00A602D6"/>
    <w:rsid w:val="00A616D3"/>
    <w:rsid w:val="00A672B2"/>
    <w:rsid w:val="00A71E47"/>
    <w:rsid w:val="00A81756"/>
    <w:rsid w:val="00A92B70"/>
    <w:rsid w:val="00AA46BC"/>
    <w:rsid w:val="00AA7F1D"/>
    <w:rsid w:val="00AD5765"/>
    <w:rsid w:val="00AD6DC6"/>
    <w:rsid w:val="00AE6C82"/>
    <w:rsid w:val="00AE77F3"/>
    <w:rsid w:val="00AE7A52"/>
    <w:rsid w:val="00AF4B47"/>
    <w:rsid w:val="00AF7E10"/>
    <w:rsid w:val="00B00A9B"/>
    <w:rsid w:val="00B23650"/>
    <w:rsid w:val="00B30004"/>
    <w:rsid w:val="00B3566C"/>
    <w:rsid w:val="00B40B19"/>
    <w:rsid w:val="00B422AE"/>
    <w:rsid w:val="00B51D14"/>
    <w:rsid w:val="00B54B23"/>
    <w:rsid w:val="00B70336"/>
    <w:rsid w:val="00B70BA1"/>
    <w:rsid w:val="00B75FE7"/>
    <w:rsid w:val="00B84F21"/>
    <w:rsid w:val="00BA096B"/>
    <w:rsid w:val="00BA467F"/>
    <w:rsid w:val="00BB28BC"/>
    <w:rsid w:val="00BC767E"/>
    <w:rsid w:val="00BD1873"/>
    <w:rsid w:val="00BE1201"/>
    <w:rsid w:val="00C1014A"/>
    <w:rsid w:val="00C17BC6"/>
    <w:rsid w:val="00C321D1"/>
    <w:rsid w:val="00C5524C"/>
    <w:rsid w:val="00C80D29"/>
    <w:rsid w:val="00C9587F"/>
    <w:rsid w:val="00CA345D"/>
    <w:rsid w:val="00CA54B2"/>
    <w:rsid w:val="00CA5EDA"/>
    <w:rsid w:val="00CB0503"/>
    <w:rsid w:val="00CB168D"/>
    <w:rsid w:val="00CB39CB"/>
    <w:rsid w:val="00CE1652"/>
    <w:rsid w:val="00D217F3"/>
    <w:rsid w:val="00D50A85"/>
    <w:rsid w:val="00D54A70"/>
    <w:rsid w:val="00D609BC"/>
    <w:rsid w:val="00D626FD"/>
    <w:rsid w:val="00D722F5"/>
    <w:rsid w:val="00D9078D"/>
    <w:rsid w:val="00DA5A7D"/>
    <w:rsid w:val="00DB5113"/>
    <w:rsid w:val="00DB5148"/>
    <w:rsid w:val="00DD398C"/>
    <w:rsid w:val="00DD49FC"/>
    <w:rsid w:val="00DF1693"/>
    <w:rsid w:val="00DF79C6"/>
    <w:rsid w:val="00E257C5"/>
    <w:rsid w:val="00E41567"/>
    <w:rsid w:val="00E45422"/>
    <w:rsid w:val="00E66DD1"/>
    <w:rsid w:val="00E676AC"/>
    <w:rsid w:val="00E70D35"/>
    <w:rsid w:val="00E854E6"/>
    <w:rsid w:val="00E85F97"/>
    <w:rsid w:val="00E92B8A"/>
    <w:rsid w:val="00E92FAD"/>
    <w:rsid w:val="00E962A3"/>
    <w:rsid w:val="00EA1EA3"/>
    <w:rsid w:val="00EA2069"/>
    <w:rsid w:val="00EE56DF"/>
    <w:rsid w:val="00EF6BF0"/>
    <w:rsid w:val="00F12902"/>
    <w:rsid w:val="00F14325"/>
    <w:rsid w:val="00F20EDD"/>
    <w:rsid w:val="00F24093"/>
    <w:rsid w:val="00F270DE"/>
    <w:rsid w:val="00F422A2"/>
    <w:rsid w:val="00F51C4E"/>
    <w:rsid w:val="00F621D3"/>
    <w:rsid w:val="00F70AF7"/>
    <w:rsid w:val="00F76B3D"/>
    <w:rsid w:val="00F82B53"/>
    <w:rsid w:val="00F903A8"/>
    <w:rsid w:val="00FA3466"/>
    <w:rsid w:val="00FB599E"/>
    <w:rsid w:val="00FC3F87"/>
    <w:rsid w:val="00FD0955"/>
    <w:rsid w:val="00FD3514"/>
    <w:rsid w:val="00FE0583"/>
    <w:rsid w:val="00FF04A2"/>
    <w:rsid w:val="02711D05"/>
    <w:rsid w:val="06941881"/>
    <w:rsid w:val="0B43B6DF"/>
    <w:rsid w:val="0B7E5164"/>
    <w:rsid w:val="0BB295BC"/>
    <w:rsid w:val="0D2116C0"/>
    <w:rsid w:val="0D6E5C71"/>
    <w:rsid w:val="11F1CA56"/>
    <w:rsid w:val="12653653"/>
    <w:rsid w:val="193B2274"/>
    <w:rsid w:val="1C14FB01"/>
    <w:rsid w:val="1D1FD15C"/>
    <w:rsid w:val="1DCC6A61"/>
    <w:rsid w:val="1E69B527"/>
    <w:rsid w:val="1F487755"/>
    <w:rsid w:val="20BCFACC"/>
    <w:rsid w:val="2196439F"/>
    <w:rsid w:val="234E230E"/>
    <w:rsid w:val="2682E2C5"/>
    <w:rsid w:val="27EC4558"/>
    <w:rsid w:val="2A467E49"/>
    <w:rsid w:val="2A8ECBFD"/>
    <w:rsid w:val="2A9341B3"/>
    <w:rsid w:val="2B603984"/>
    <w:rsid w:val="2B8B07A4"/>
    <w:rsid w:val="2C4857DB"/>
    <w:rsid w:val="2C5C97FB"/>
    <w:rsid w:val="2CA3D7EF"/>
    <w:rsid w:val="2E1DFA4A"/>
    <w:rsid w:val="2FDBDFE3"/>
    <w:rsid w:val="30A32E7F"/>
    <w:rsid w:val="3195566B"/>
    <w:rsid w:val="32761AB2"/>
    <w:rsid w:val="34CC1FCE"/>
    <w:rsid w:val="36672BE3"/>
    <w:rsid w:val="37C7046F"/>
    <w:rsid w:val="3A33F9A9"/>
    <w:rsid w:val="3CDBC6DD"/>
    <w:rsid w:val="3EFE3DE9"/>
    <w:rsid w:val="462F9EA3"/>
    <w:rsid w:val="46954A72"/>
    <w:rsid w:val="4777A7B1"/>
    <w:rsid w:val="4E0701D2"/>
    <w:rsid w:val="4EE078DB"/>
    <w:rsid w:val="505A5398"/>
    <w:rsid w:val="52387CB4"/>
    <w:rsid w:val="53CD7C72"/>
    <w:rsid w:val="546FC836"/>
    <w:rsid w:val="54AC020A"/>
    <w:rsid w:val="57F1C3B6"/>
    <w:rsid w:val="59FA31D2"/>
    <w:rsid w:val="5B5D0E9B"/>
    <w:rsid w:val="5B86B889"/>
    <w:rsid w:val="619B5266"/>
    <w:rsid w:val="637BFCE3"/>
    <w:rsid w:val="63E5C470"/>
    <w:rsid w:val="649B71D8"/>
    <w:rsid w:val="6A1DF2D5"/>
    <w:rsid w:val="6C8A79C8"/>
    <w:rsid w:val="6F2569A9"/>
    <w:rsid w:val="6F5682EC"/>
    <w:rsid w:val="6F7C1E6F"/>
    <w:rsid w:val="74B220E0"/>
    <w:rsid w:val="76CAC227"/>
    <w:rsid w:val="7739FF87"/>
    <w:rsid w:val="778B4A57"/>
    <w:rsid w:val="77C64CE6"/>
    <w:rsid w:val="7A2683BC"/>
    <w:rsid w:val="7A3C8931"/>
    <w:rsid w:val="7A4BBD6B"/>
    <w:rsid w:val="7B8F228C"/>
    <w:rsid w:val="7C2F93B8"/>
    <w:rsid w:val="7C36C026"/>
    <w:rsid w:val="7D3CCB29"/>
    <w:rsid w:val="7D701A25"/>
    <w:rsid w:val="7E1E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48093BD7-CB90-4E6A-9282-4112AE6E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36672BE3"/>
    <w:rPr>
      <w:color w:val="467886"/>
      <w:u w:val="single"/>
    </w:rPr>
  </w:style>
  <w:style w:type="table" w:customStyle="1" w:styleId="TableNormal2">
    <w:name w:val="Table Normal2"/>
    <w:uiPriority w:val="2"/>
    <w:semiHidden/>
    <w:qFormat/>
    <w:rsid w:val="0038716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92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2B8A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8070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807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807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070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07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07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7</cp:revision>
  <dcterms:created xsi:type="dcterms:W3CDTF">2025-05-02T07:16:00Z</dcterms:created>
  <dcterms:modified xsi:type="dcterms:W3CDTF">2025-05-05T10:54:00Z</dcterms:modified>
</cp:coreProperties>
</file>