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83"/>
        <w:gridCol w:w="4879"/>
      </w:tblGrid>
      <w:tr w:rsidR="00465C97" w14:paraId="0C6980EA" w14:textId="77777777" w:rsidTr="5F100DE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F100DE4">
        <w:trPr>
          <w:trHeight w:val="805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43AFF47" w14:textId="02AA7AFB" w:rsidR="00631D48" w:rsidRPr="00AA1F70" w:rsidRDefault="00631D48" w:rsidP="00AA1F70">
            <w:pPr>
              <w:pStyle w:val="Odstavecseseznamem"/>
              <w:numPr>
                <w:ilvl w:val="0"/>
                <w:numId w:val="14"/>
              </w:num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 w:rsidRPr="00AA1F70">
              <w:rPr>
                <w:rFonts w:ascii="Aptos" w:eastAsia="Calibri" w:hAnsi="Aptos" w:cs="Calibri"/>
                <w:b/>
                <w:bCs/>
              </w:rPr>
              <w:t>Manuál správce stavby, metodika měření </w:t>
            </w:r>
          </w:p>
          <w:p w14:paraId="66600368" w14:textId="77777777" w:rsidR="00631D48" w:rsidRPr="00631D48" w:rsidRDefault="00631D48" w:rsidP="00BC6B6E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>V manuálu správce stavby – Metodika měření, ÚČOV – rekonstrukce stávající vodní linky, který je přílohou zadávací dokumentace je uvedena definice, cit.: „</w:t>
            </w:r>
            <w:r w:rsidRPr="00631D48">
              <w:rPr>
                <w:rFonts w:ascii="Aptos" w:eastAsia="Calibri" w:hAnsi="Aptos" w:cs="Calibri"/>
                <w:i/>
                <w:iCs/>
              </w:rPr>
              <w:t>Výkaz výměr</w:t>
            </w:r>
            <w:r w:rsidRPr="00631D48">
              <w:rPr>
                <w:rFonts w:ascii="Aptos" w:eastAsia="Calibri" w:hAnsi="Aptos" w:cs="Calibri"/>
              </w:rPr>
              <w:t> </w:t>
            </w:r>
            <w:r w:rsidRPr="00631D48">
              <w:rPr>
                <w:rFonts w:ascii="Aptos" w:eastAsia="Calibri" w:hAnsi="Aptos" w:cs="Calibri"/>
              </w:rPr>
              <w:br/>
            </w:r>
            <w:r w:rsidRPr="00631D48">
              <w:rPr>
                <w:rFonts w:ascii="Aptos" w:eastAsia="Calibri" w:hAnsi="Aptos" w:cs="Calibri"/>
                <w:i/>
                <w:iCs/>
              </w:rPr>
              <w:t>Výkaz výměr je podle § 6 vyhlášky č. 169/2016 Sb., součástí položky soupisu prací. Ve výkazu výměr zadavatel uvádí výpočet použitý při stanovení výměry předpokládaného množství položky soupisu prací a odkaz na příslušnou grafickou nebo textovou část dokumentace pro zadání stavebních prací tak, aby umožnil kontrolu celkové výměry, nebo odkáže na výpočet stanovení množství položky soupisu prací v dokumentaci.</w:t>
            </w:r>
            <w:r w:rsidRPr="00631D48">
              <w:rPr>
                <w:rFonts w:ascii="Aptos" w:eastAsia="Calibri" w:hAnsi="Aptos" w:cs="Calibri"/>
              </w:rPr>
              <w:t> </w:t>
            </w:r>
          </w:p>
          <w:p w14:paraId="0C6FAAF7" w14:textId="77777777" w:rsidR="00631D48" w:rsidRPr="00631D48" w:rsidRDefault="00631D48" w:rsidP="00BC6B6E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 xml:space="preserve">Dotaz uchazeče směřuje k položkám výkazu výměr, kde je jako jednotka uvedený 1 kus/1 </w:t>
            </w:r>
            <w:proofErr w:type="spellStart"/>
            <w:r w:rsidRPr="00631D48">
              <w:rPr>
                <w:rFonts w:ascii="Aptos" w:eastAsia="Calibri" w:hAnsi="Aptos" w:cs="Calibri"/>
              </w:rPr>
              <w:t>kpl</w:t>
            </w:r>
            <w:proofErr w:type="spellEnd"/>
            <w:r w:rsidRPr="00631D48">
              <w:rPr>
                <w:rFonts w:ascii="Aptos" w:eastAsia="Calibri" w:hAnsi="Aptos" w:cs="Calibri"/>
              </w:rPr>
              <w:t xml:space="preserve"> a není možné stanovit množství položky výpočtem tak, aby byla umožněna kontrola celkové výměry. Uchazeči není známo, jak bude validován jejich obsah.  </w:t>
            </w:r>
          </w:p>
          <w:p w14:paraId="32FE74B6" w14:textId="77777777" w:rsidR="00631D48" w:rsidRPr="00631D48" w:rsidRDefault="00631D48" w:rsidP="00BC6B6E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>PS 8100 </w:t>
            </w:r>
          </w:p>
          <w:tbl>
            <w:tblPr>
              <w:tblW w:w="8230" w:type="dxa"/>
              <w:tblInd w:w="60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185"/>
              <w:gridCol w:w="1251"/>
              <w:gridCol w:w="1061"/>
              <w:gridCol w:w="1007"/>
              <w:gridCol w:w="1196"/>
              <w:gridCol w:w="777"/>
              <w:gridCol w:w="1091"/>
              <w:gridCol w:w="1367"/>
            </w:tblGrid>
            <w:tr w:rsidR="0012528D" w:rsidRPr="00631D48" w14:paraId="7E7F7434" w14:textId="77777777" w:rsidTr="0012528D">
              <w:trPr>
                <w:trHeight w:val="300"/>
              </w:trPr>
              <w:tc>
                <w:tcPr>
                  <w:tcW w:w="27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6D03FAF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80 </w:t>
                  </w:r>
                </w:p>
              </w:tc>
              <w:tc>
                <w:tcPr>
                  <w:tcW w:w="169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E28070C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K </w:t>
                  </w:r>
                </w:p>
              </w:tc>
              <w:tc>
                <w:tcPr>
                  <w:tcW w:w="1243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0A33578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357116522R </w:t>
                  </w:r>
                </w:p>
              </w:tc>
              <w:tc>
                <w:tcPr>
                  <w:tcW w:w="1068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0471BD4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Práce </w:t>
                  </w:r>
                </w:p>
              </w:tc>
              <w:tc>
                <w:tcPr>
                  <w:tcW w:w="1016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30368AF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kus </w:t>
                  </w:r>
                </w:p>
              </w:tc>
              <w:tc>
                <w:tcPr>
                  <w:tcW w:w="120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4D3E527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1,000 </w:t>
                  </w:r>
                </w:p>
              </w:tc>
              <w:tc>
                <w:tcPr>
                  <w:tcW w:w="782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100AF25F" w14:textId="77777777" w:rsidR="00631D48" w:rsidRPr="0012528D" w:rsidRDefault="00631D48" w:rsidP="0012528D">
                  <w:pPr>
                    <w:spacing w:line="276" w:lineRule="auto"/>
                    <w:ind w:left="360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  </w:t>
                  </w:r>
                </w:p>
              </w:tc>
              <w:tc>
                <w:tcPr>
                  <w:tcW w:w="1101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F00DAE4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0,00 </w:t>
                  </w:r>
                </w:p>
              </w:tc>
              <w:tc>
                <w:tcPr>
                  <w:tcW w:w="1376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EDA0F08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R-položka </w:t>
                  </w:r>
                </w:p>
              </w:tc>
            </w:tr>
          </w:tbl>
          <w:p w14:paraId="7A99E7F9" w14:textId="77777777" w:rsidR="00631D48" w:rsidRPr="00631D48" w:rsidRDefault="00631D48" w:rsidP="0012528D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>PS 800 </w:t>
            </w:r>
          </w:p>
          <w:tbl>
            <w:tblPr>
              <w:tblW w:w="0" w:type="dxa"/>
              <w:tblInd w:w="60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3"/>
              <w:gridCol w:w="303"/>
              <w:gridCol w:w="1251"/>
              <w:gridCol w:w="4682"/>
              <w:gridCol w:w="623"/>
              <w:gridCol w:w="598"/>
            </w:tblGrid>
            <w:tr w:rsidR="0012528D" w:rsidRPr="00631D48" w14:paraId="1E1BF4BD" w14:textId="77777777" w:rsidTr="0012528D">
              <w:trPr>
                <w:trHeight w:val="825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D6529AC" w14:textId="77777777" w:rsidR="00631D48" w:rsidRPr="0012528D" w:rsidRDefault="00631D48" w:rsidP="0012528D">
                  <w:pPr>
                    <w:spacing w:line="276" w:lineRule="auto"/>
                    <w:ind w:left="360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177 </w:t>
                  </w:r>
                </w:p>
              </w:tc>
              <w:tc>
                <w:tcPr>
                  <w:tcW w:w="34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CFCB32E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K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572C3C0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741990063R </w:t>
                  </w:r>
                </w:p>
              </w:tc>
              <w:tc>
                <w:tcPr>
                  <w:tcW w:w="580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ECC86FF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 xml:space="preserve">Ostatní doplňkové práce </w:t>
                  </w:r>
                  <w:proofErr w:type="gramStart"/>
                  <w:r w:rsidRPr="0012528D">
                    <w:rPr>
                      <w:rFonts w:ascii="Aptos" w:eastAsia="Calibri" w:hAnsi="Aptos" w:cs="Calibri"/>
                    </w:rPr>
                    <w:t>elektromontážní - doplňkový</w:t>
                  </w:r>
                  <w:proofErr w:type="gramEnd"/>
                  <w:r w:rsidRPr="0012528D">
                    <w:rPr>
                      <w:rFonts w:ascii="Aptos" w:eastAsia="Calibri" w:hAnsi="Aptos" w:cs="Calibri"/>
                    </w:rPr>
                    <w:t xml:space="preserve"> elektromateriál </w:t>
                  </w:r>
                </w:p>
              </w:tc>
              <w:tc>
                <w:tcPr>
                  <w:tcW w:w="70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763D45C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kus </w:t>
                  </w:r>
                </w:p>
              </w:tc>
              <w:tc>
                <w:tcPr>
                  <w:tcW w:w="60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BD67A3A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1,000 </w:t>
                  </w:r>
                </w:p>
              </w:tc>
            </w:tr>
          </w:tbl>
          <w:p w14:paraId="3188BF44" w14:textId="77777777" w:rsidR="00631D48" w:rsidRPr="00631D48" w:rsidRDefault="00631D48" w:rsidP="0012528D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>nebo „1kpl“ </w:t>
            </w:r>
          </w:p>
          <w:p w14:paraId="661E6DEA" w14:textId="77777777" w:rsidR="00631D48" w:rsidRPr="00631D48" w:rsidRDefault="00631D48" w:rsidP="0012528D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>PS 6000 </w:t>
            </w:r>
          </w:p>
          <w:tbl>
            <w:tblPr>
              <w:tblW w:w="0" w:type="dxa"/>
              <w:tblInd w:w="66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2"/>
              <w:gridCol w:w="317"/>
              <w:gridCol w:w="1069"/>
              <w:gridCol w:w="5073"/>
              <w:gridCol w:w="643"/>
              <w:gridCol w:w="636"/>
            </w:tblGrid>
            <w:tr w:rsidR="0012528D" w:rsidRPr="00631D48" w14:paraId="1E0B6F6D" w14:textId="77777777" w:rsidTr="0012528D">
              <w:trPr>
                <w:trHeight w:val="1199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86B9E86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191 </w:t>
                  </w:r>
                </w:p>
              </w:tc>
              <w:tc>
                <w:tcPr>
                  <w:tcW w:w="34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3AD3F78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K </w:t>
                  </w:r>
                </w:p>
              </w:tc>
              <w:tc>
                <w:tcPr>
                  <w:tcW w:w="108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8688853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6000R216 </w:t>
                  </w:r>
                </w:p>
              </w:tc>
              <w:tc>
                <w:tcPr>
                  <w:tcW w:w="580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D42DF06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 xml:space="preserve">Ostatní nespecifikované dodávky a montáže (podpěry, kotvení, montážní a zdvihací </w:t>
                  </w:r>
                  <w:proofErr w:type="gramStart"/>
                  <w:r w:rsidRPr="0012528D">
                    <w:rPr>
                      <w:rFonts w:ascii="Aptos" w:eastAsia="Calibri" w:hAnsi="Aptos" w:cs="Calibri"/>
                    </w:rPr>
                    <w:t>mechanizmy</w:t>
                  </w:r>
                  <w:proofErr w:type="gramEnd"/>
                  <w:r w:rsidRPr="0012528D">
                    <w:rPr>
                      <w:rFonts w:ascii="Aptos" w:eastAsia="Calibri" w:hAnsi="Aptos" w:cs="Calibri"/>
                    </w:rPr>
                    <w:t>), jiné nespecifikované dodávky a montáže nutné pro správnou funkčnost celého zařízení </w:t>
                  </w:r>
                </w:p>
              </w:tc>
              <w:tc>
                <w:tcPr>
                  <w:tcW w:w="70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972C138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proofErr w:type="spellStart"/>
                  <w:r w:rsidRPr="0012528D">
                    <w:rPr>
                      <w:rFonts w:ascii="Aptos" w:eastAsia="Calibri" w:hAnsi="Aptos" w:cs="Calibri"/>
                    </w:rPr>
                    <w:t>kpl</w:t>
                  </w:r>
                  <w:proofErr w:type="spellEnd"/>
                  <w:r w:rsidRPr="0012528D">
                    <w:rPr>
                      <w:rFonts w:ascii="Aptos" w:eastAsia="Calibri" w:hAnsi="Aptos" w:cs="Calibri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26B6B97" w14:textId="77777777" w:rsidR="00631D48" w:rsidRPr="0012528D" w:rsidRDefault="00631D48" w:rsidP="0012528D">
                  <w:pPr>
                    <w:spacing w:line="276" w:lineRule="auto"/>
                    <w:rPr>
                      <w:rFonts w:ascii="Calibri" w:eastAsia="Calibri" w:hAnsi="Calibri" w:cs="Calibri"/>
                    </w:rPr>
                  </w:pPr>
                  <w:r w:rsidRPr="0012528D">
                    <w:rPr>
                      <w:rFonts w:ascii="Aptos" w:eastAsia="Calibri" w:hAnsi="Aptos" w:cs="Calibri"/>
                    </w:rPr>
                    <w:t>1,000 </w:t>
                  </w:r>
                </w:p>
              </w:tc>
            </w:tr>
          </w:tbl>
          <w:p w14:paraId="2034BBBD" w14:textId="6272AD25" w:rsidR="000C2E2F" w:rsidRPr="0006084C" w:rsidRDefault="00631D48" w:rsidP="0006084C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631D48">
              <w:rPr>
                <w:rFonts w:ascii="Aptos" w:eastAsia="Calibri" w:hAnsi="Aptos" w:cs="Calibri"/>
              </w:rPr>
              <w:t>Vyjasní zadavatel obsah předmětných položek a případně upraví soupis prací s</w:t>
            </w:r>
            <w:r w:rsidRPr="00631D48">
              <w:rPr>
                <w:rFonts w:ascii="Arial" w:eastAsia="Calibri" w:hAnsi="Arial" w:cs="Arial"/>
              </w:rPr>
              <w:t> </w:t>
            </w:r>
            <w:r w:rsidRPr="00631D48">
              <w:rPr>
                <w:rFonts w:ascii="Aptos" w:eastAsia="Calibri" w:hAnsi="Aptos" w:cs="Calibri"/>
              </w:rPr>
              <w:t>v</w:t>
            </w:r>
            <w:r w:rsidRPr="00631D48">
              <w:rPr>
                <w:rFonts w:ascii="Aptos" w:eastAsia="Calibri" w:hAnsi="Aptos" w:cs="Aptos"/>
              </w:rPr>
              <w:t>ý</w:t>
            </w:r>
            <w:r w:rsidRPr="00631D48">
              <w:rPr>
                <w:rFonts w:ascii="Aptos" w:eastAsia="Calibri" w:hAnsi="Aptos" w:cs="Calibri"/>
              </w:rPr>
              <w:t>kazem v</w:t>
            </w:r>
            <w:r w:rsidRPr="00631D48">
              <w:rPr>
                <w:rFonts w:ascii="Aptos" w:eastAsia="Calibri" w:hAnsi="Aptos" w:cs="Aptos"/>
              </w:rPr>
              <w:t>ý</w:t>
            </w:r>
            <w:r w:rsidRPr="00631D48">
              <w:rPr>
                <w:rFonts w:ascii="Aptos" w:eastAsia="Calibri" w:hAnsi="Aptos" w:cs="Calibri"/>
              </w:rPr>
              <w:t>m</w:t>
            </w:r>
            <w:r w:rsidRPr="00631D48">
              <w:rPr>
                <w:rFonts w:ascii="Aptos" w:eastAsia="Calibri" w:hAnsi="Aptos" w:cs="Aptos"/>
              </w:rPr>
              <w:t>ě</w:t>
            </w:r>
            <w:r w:rsidRPr="00631D48">
              <w:rPr>
                <w:rFonts w:ascii="Aptos" w:eastAsia="Calibri" w:hAnsi="Aptos" w:cs="Calibri"/>
              </w:rPr>
              <w:t>r? </w:t>
            </w:r>
          </w:p>
        </w:tc>
      </w:tr>
      <w:tr w:rsidR="00A92B70" w14:paraId="34011E26" w14:textId="77777777" w:rsidTr="5F100DE4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F100DE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0FE36E6" w:rsidR="00465C97" w:rsidRPr="00465C97" w:rsidRDefault="005418ED" w:rsidP="00465C97">
            <w:pPr>
              <w:jc w:val="center"/>
              <w:rPr>
                <w:b/>
                <w:bCs/>
              </w:rPr>
            </w:pPr>
            <w:r w:rsidRPr="005418ED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5F100DE4">
        <w:trPr>
          <w:trHeight w:val="849"/>
        </w:trPr>
        <w:tc>
          <w:tcPr>
            <w:tcW w:w="9062" w:type="dxa"/>
            <w:gridSpan w:val="2"/>
          </w:tcPr>
          <w:p w14:paraId="21A81D9D" w14:textId="7AEFEEEB" w:rsidR="00465C97" w:rsidRDefault="001D71ED" w:rsidP="00400EBC">
            <w:pPr>
              <w:spacing w:line="0" w:lineRule="atLeast"/>
              <w:jc w:val="both"/>
            </w:pPr>
            <w:r>
              <w:t>Zadavatel poskytuje následující odpovědi pro jednotlivé části dotazu:</w:t>
            </w:r>
          </w:p>
          <w:p w14:paraId="230FC571" w14:textId="77777777" w:rsidR="001D71ED" w:rsidRDefault="001D71ED" w:rsidP="00400EBC">
            <w:pPr>
              <w:pStyle w:val="Odstavecseseznamem"/>
              <w:numPr>
                <w:ilvl w:val="0"/>
                <w:numId w:val="15"/>
              </w:numPr>
              <w:spacing w:line="0" w:lineRule="atLeast"/>
              <w:jc w:val="both"/>
            </w:pPr>
            <w:r>
              <w:t>PS 8100, pol. č. 80</w:t>
            </w:r>
          </w:p>
          <w:p w14:paraId="2E811DA3" w14:textId="10896EEE" w:rsidR="001D71ED" w:rsidRDefault="001D71ED" w:rsidP="00400EBC">
            <w:pPr>
              <w:pStyle w:val="Odstavecseseznamem"/>
              <w:spacing w:line="0" w:lineRule="atLeast"/>
              <w:jc w:val="both"/>
            </w:pPr>
            <w:r>
              <w:t>Zadavatel</w:t>
            </w:r>
            <w:r w:rsidRPr="001D71ED">
              <w:t xml:space="preserve"> upřesňuje, že se jedná o komplet. Soupis prací byl upraven na soubor.</w:t>
            </w:r>
          </w:p>
          <w:p w14:paraId="2FC777AD" w14:textId="77777777" w:rsidR="001D71ED" w:rsidRDefault="001D71ED" w:rsidP="00400EBC">
            <w:pPr>
              <w:pStyle w:val="Odstavecseseznamem"/>
              <w:spacing w:line="0" w:lineRule="atLeast"/>
              <w:jc w:val="both"/>
            </w:pPr>
          </w:p>
          <w:p w14:paraId="4885F534" w14:textId="4B88B0B3" w:rsidR="001D71ED" w:rsidRDefault="001D71ED" w:rsidP="00400EBC">
            <w:pPr>
              <w:pStyle w:val="Odstavecseseznamem"/>
              <w:numPr>
                <w:ilvl w:val="0"/>
                <w:numId w:val="15"/>
              </w:numPr>
              <w:spacing w:line="0" w:lineRule="atLeast"/>
              <w:jc w:val="both"/>
            </w:pPr>
            <w:r>
              <w:t>PS 8000</w:t>
            </w:r>
            <w:r w:rsidR="00885824">
              <w:t xml:space="preserve"> (tazatel nesprávně uvádí PS 800)</w:t>
            </w:r>
            <w:r>
              <w:t>, pol. č. 177</w:t>
            </w:r>
          </w:p>
          <w:p w14:paraId="2E9E21C0" w14:textId="671BFFC7" w:rsidR="001D71ED" w:rsidRDefault="000C38D1" w:rsidP="00400EBC">
            <w:pPr>
              <w:pStyle w:val="Odstavecseseznamem"/>
              <w:spacing w:line="0" w:lineRule="atLeast"/>
              <w:jc w:val="both"/>
            </w:pPr>
            <w:r>
              <w:t xml:space="preserve">Zadavatel </w:t>
            </w:r>
            <w:r w:rsidRPr="000C38D1">
              <w:t>upřesňuje, že se jedná o komplet. Měrná jednotka položky č. 177 byla upravena. Obdobně upravena měrná jednotka položek č. 178.</w:t>
            </w:r>
          </w:p>
          <w:p w14:paraId="25172AEC" w14:textId="77777777" w:rsidR="005F2C99" w:rsidRDefault="005F2C99" w:rsidP="00400EBC">
            <w:pPr>
              <w:pStyle w:val="Odstavecseseznamem"/>
              <w:spacing w:line="0" w:lineRule="atLeast"/>
              <w:jc w:val="both"/>
            </w:pPr>
          </w:p>
          <w:p w14:paraId="3CEE1306" w14:textId="7E8D3DE1" w:rsidR="005F2C99" w:rsidRDefault="005F2C99" w:rsidP="005F2C99">
            <w:pPr>
              <w:pStyle w:val="Odstavecseseznamem"/>
              <w:numPr>
                <w:ilvl w:val="0"/>
                <w:numId w:val="15"/>
              </w:numPr>
              <w:spacing w:line="0" w:lineRule="atLeast"/>
              <w:jc w:val="both"/>
            </w:pPr>
            <w:r>
              <w:t xml:space="preserve">PS 6000, pol. </w:t>
            </w:r>
            <w:r w:rsidR="00797FB2">
              <w:t>č</w:t>
            </w:r>
            <w:r>
              <w:t>. 191</w:t>
            </w:r>
          </w:p>
          <w:p w14:paraId="528DB979" w14:textId="023A7B12" w:rsidR="005F2C99" w:rsidRDefault="005F2C99" w:rsidP="00797FB2">
            <w:pPr>
              <w:spacing w:line="0" w:lineRule="atLeast"/>
              <w:ind w:left="708"/>
              <w:jc w:val="both"/>
            </w:pPr>
            <w:r>
              <w:t xml:space="preserve">Zadavatel potvrzuje, že měrná jednotka položky č. 191 je </w:t>
            </w:r>
            <w:r w:rsidR="00885824">
              <w:t>komplet.</w:t>
            </w:r>
          </w:p>
          <w:p w14:paraId="1D054E2E" w14:textId="77777777" w:rsidR="001D71ED" w:rsidRDefault="001D71ED" w:rsidP="00400EBC">
            <w:pPr>
              <w:pStyle w:val="Odstavecseseznamem"/>
              <w:spacing w:line="0" w:lineRule="atLeast"/>
              <w:jc w:val="both"/>
            </w:pPr>
          </w:p>
          <w:p w14:paraId="27F11635" w14:textId="756DDCA0" w:rsidR="00810592" w:rsidRDefault="00FA5FD6" w:rsidP="00400EBC">
            <w:pPr>
              <w:spacing w:line="257" w:lineRule="auto"/>
              <w:jc w:val="both"/>
              <w:rPr>
                <w:rFonts w:eastAsia="Times New Roman" w:cs="Arial"/>
                <w:i/>
                <w:iCs/>
                <w:lang w:eastAsia="cs-CZ"/>
              </w:rPr>
            </w:pPr>
            <w:r w:rsidRPr="00FA5FD6">
              <w:rPr>
                <w:rFonts w:eastAsia="Times New Roman" w:cs="Arial"/>
                <w:lang w:eastAsia="cs-CZ"/>
              </w:rPr>
              <w:t>Zadavatel dále obecně uvádí, že v</w:t>
            </w:r>
            <w:r w:rsidR="00810592" w:rsidRPr="00FA5FD6">
              <w:rPr>
                <w:rFonts w:eastAsia="Times New Roman" w:cs="Arial"/>
                <w:lang w:eastAsia="cs-CZ"/>
              </w:rPr>
              <w:t xml:space="preserve"> metodice měření je mj. uvedeno v odstavci 5.1 </w:t>
            </w:r>
            <w:r w:rsidR="00810592" w:rsidRPr="00FA5FD6">
              <w:rPr>
                <w:rFonts w:eastAsia="Times New Roman" w:cs="Arial"/>
                <w:i/>
                <w:iCs/>
                <w:lang w:eastAsia="cs-CZ"/>
              </w:rPr>
              <w:t xml:space="preserve">„Položky </w:t>
            </w:r>
            <w:proofErr w:type="gramStart"/>
            <w:r w:rsidR="00810592" w:rsidRPr="00FA5FD6">
              <w:rPr>
                <w:rFonts w:eastAsia="Times New Roman" w:cs="Arial"/>
                <w:i/>
                <w:iCs/>
                <w:lang w:eastAsia="cs-CZ"/>
              </w:rPr>
              <w:t>neměřitelné - Metodika</w:t>
            </w:r>
            <w:proofErr w:type="gramEnd"/>
            <w:r w:rsidR="00810592" w:rsidRPr="00FA5FD6">
              <w:rPr>
                <w:rFonts w:eastAsia="Times New Roman" w:cs="Arial"/>
                <w:i/>
                <w:iCs/>
                <w:lang w:eastAsia="cs-CZ"/>
              </w:rPr>
              <w:t xml:space="preserve"> se zabývá měřením položek, které jsou měřitelné na stavbě. Metodika se nezabývá položkami a skupinami, které jsou neměřitelné a vykazují / platí se způsobem stanoveným ve Smlouvě. Mezi neměřitelné skupiny patří různé typy paušálních položek např. položky označené jako „komplet“ nebo „kus“ a podmíněné obnosy.“ </w:t>
            </w:r>
          </w:p>
          <w:p w14:paraId="48CC5FBC" w14:textId="77777777" w:rsidR="00FA5FD6" w:rsidRPr="00FA5FD6" w:rsidRDefault="00FA5FD6" w:rsidP="00400EBC">
            <w:pPr>
              <w:spacing w:line="257" w:lineRule="auto"/>
              <w:jc w:val="both"/>
              <w:rPr>
                <w:rFonts w:eastAsia="Times New Roman" w:cs="Arial"/>
                <w:i/>
                <w:iCs/>
                <w:lang w:eastAsia="cs-CZ"/>
              </w:rPr>
            </w:pPr>
          </w:p>
          <w:p w14:paraId="4929BAF4" w14:textId="18901DA2" w:rsidR="00FD4953" w:rsidRDefault="00810592" w:rsidP="00400EBC">
            <w:pPr>
              <w:spacing w:line="0" w:lineRule="atLeast"/>
              <w:jc w:val="both"/>
              <w:rPr>
                <w:rFonts w:eastAsia="Times New Roman" w:cs="Arial"/>
                <w:lang w:eastAsia="cs-CZ"/>
              </w:rPr>
            </w:pPr>
            <w:r w:rsidRPr="00FA5FD6">
              <w:rPr>
                <w:rFonts w:eastAsia="Times New Roman" w:cs="Arial"/>
                <w:lang w:eastAsia="cs-CZ"/>
              </w:rPr>
              <w:t>S odkazem na výše uvedené Zadavatel sděluje, že kusy a komplety nebudou měřeny postupem v souladu s Metodikou měření, na ně se Metodika měření nevztahuje.</w:t>
            </w:r>
            <w:r w:rsidR="00885824">
              <w:rPr>
                <w:rFonts w:eastAsia="Times New Roman" w:cs="Arial"/>
                <w:lang w:eastAsia="cs-CZ"/>
              </w:rPr>
              <w:t xml:space="preserve"> V této souvislosti zadavatel přistoupil k úpravě čl. 17.1. ZD a Pod-čl. 12.1. Zvláštních podmínek</w:t>
            </w:r>
            <w:r w:rsidR="006D1FA9">
              <w:rPr>
                <w:rFonts w:eastAsia="Times New Roman" w:cs="Arial"/>
                <w:lang w:eastAsia="cs-CZ"/>
              </w:rPr>
              <w:t xml:space="preserve"> smlouvy (ZOP)</w:t>
            </w:r>
            <w:r w:rsidR="00885824">
              <w:rPr>
                <w:rFonts w:eastAsia="Times New Roman" w:cs="Arial"/>
                <w:lang w:eastAsia="cs-CZ"/>
              </w:rPr>
              <w:t>.</w:t>
            </w:r>
          </w:p>
          <w:p w14:paraId="34B89321" w14:textId="4DEA47DB" w:rsidR="001D71ED" w:rsidRPr="00FA5FD6" w:rsidRDefault="00810592" w:rsidP="00400EBC">
            <w:pPr>
              <w:spacing w:line="0" w:lineRule="atLeast"/>
              <w:jc w:val="both"/>
            </w:pPr>
            <w:r w:rsidRPr="00FA5FD6">
              <w:rPr>
                <w:rFonts w:eastAsia="Times New Roman" w:cs="Arial"/>
                <w:lang w:eastAsia="cs-CZ"/>
              </w:rPr>
              <w:t>Obsah položek je dán popisem pod každou položkou v části „výkaz výměr“, kde pro tyto případy není uveden výpočet výměry</w:t>
            </w:r>
            <w:r w:rsidR="00400EBC">
              <w:rPr>
                <w:rFonts w:eastAsia="Times New Roman" w:cs="Arial"/>
                <w:lang w:eastAsia="cs-CZ"/>
              </w:rPr>
              <w:t>,</w:t>
            </w:r>
            <w:r w:rsidRPr="00FA5FD6">
              <w:rPr>
                <w:rFonts w:eastAsia="Times New Roman" w:cs="Arial"/>
                <w:lang w:eastAsia="cs-CZ"/>
              </w:rPr>
              <w:t xml:space="preserve"> ale jsou uvedeny odkazy na příslušnou grafickou nebo textovou část dokumentace a případně upřesňující popisy obsahu položky. Zadavatel se domnívá, že popis položek je dostačující a není potřeba vyjasňovat obsah předmětných položek a upravovat Soupis prací s výkazem výměr. Validace obsahu těchto položek bude probíhat porovnáním zadání položky z grafické či textové části dokumentace, upřesňujícím popisem se skutečným provedením dané položky.</w:t>
            </w:r>
          </w:p>
          <w:p w14:paraId="25849A04" w14:textId="4607F58C" w:rsidR="00810592" w:rsidRPr="00DD398C" w:rsidRDefault="00810592" w:rsidP="00400EBC">
            <w:pPr>
              <w:spacing w:line="0" w:lineRule="atLeast"/>
              <w:jc w:val="both"/>
            </w:pPr>
          </w:p>
        </w:tc>
      </w:tr>
      <w:tr w:rsidR="00465C97" w14:paraId="2972FBC8" w14:textId="77777777" w:rsidTr="006D1FA9">
        <w:trPr>
          <w:trHeight w:val="567"/>
        </w:trPr>
        <w:tc>
          <w:tcPr>
            <w:tcW w:w="418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lastRenderedPageBreak/>
              <w:t>Revize Projektové dokumentace</w:t>
            </w:r>
          </w:p>
        </w:tc>
        <w:tc>
          <w:tcPr>
            <w:tcW w:w="4881" w:type="dxa"/>
            <w:vAlign w:val="center"/>
          </w:tcPr>
          <w:p w14:paraId="4ED701F5" w14:textId="1EA58263" w:rsidR="00465C97" w:rsidRPr="00A92B70" w:rsidRDefault="16A449C0" w:rsidP="00A92B70">
            <w:pPr>
              <w:rPr>
                <w:sz w:val="18"/>
                <w:szCs w:val="18"/>
              </w:rPr>
            </w:pPr>
            <w:r w:rsidRPr="5F100DE4"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797FB2">
        <w:trPr>
          <w:trHeight w:val="567"/>
        </w:trPr>
        <w:tc>
          <w:tcPr>
            <w:tcW w:w="4181" w:type="dxa"/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4881" w:type="dxa"/>
            <w:vAlign w:val="center"/>
          </w:tcPr>
          <w:p w14:paraId="752A49C1" w14:textId="35661F8A" w:rsidR="00465C97" w:rsidRPr="00A92B70" w:rsidRDefault="000C38D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6D1FA9" w14:paraId="76F94A55" w14:textId="77777777" w:rsidTr="006D1FA9">
        <w:trPr>
          <w:trHeight w:val="567"/>
        </w:trPr>
        <w:tc>
          <w:tcPr>
            <w:tcW w:w="418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9AC5214" w14:textId="37EF641F" w:rsidR="006D1FA9" w:rsidRPr="00A92B70" w:rsidRDefault="006D1FA9" w:rsidP="006D1FA9">
            <w:pPr>
              <w:rPr>
                <w:rFonts w:ascii="Aptos" w:hAnsi="Aptos"/>
                <w:b/>
                <w:bCs/>
                <w:szCs w:val="20"/>
              </w:rPr>
            </w:pPr>
            <w:r w:rsidRPr="000D477C">
              <w:rPr>
                <w:b/>
                <w:bCs/>
                <w:sz w:val="20"/>
                <w:szCs w:val="20"/>
              </w:rPr>
              <w:t>R</w:t>
            </w:r>
            <w:r>
              <w:rPr>
                <w:b/>
                <w:bCs/>
                <w:sz w:val="20"/>
                <w:szCs w:val="20"/>
              </w:rPr>
              <w:t>evize dalších součástí</w:t>
            </w:r>
            <w:r w:rsidRPr="000D477C">
              <w:rPr>
                <w:b/>
                <w:bCs/>
                <w:sz w:val="20"/>
                <w:szCs w:val="20"/>
              </w:rPr>
              <w:t xml:space="preserve"> ZD</w:t>
            </w:r>
          </w:p>
        </w:tc>
        <w:tc>
          <w:tcPr>
            <w:tcW w:w="4881" w:type="dxa"/>
            <w:tcBorders>
              <w:bottom w:val="single" w:sz="4" w:space="0" w:color="auto"/>
            </w:tcBorders>
            <w:vAlign w:val="center"/>
          </w:tcPr>
          <w:p w14:paraId="0AAC0EAE" w14:textId="77777777" w:rsidR="006D1FA9" w:rsidRDefault="006D1FA9" w:rsidP="006D1FA9">
            <w:pPr>
              <w:rPr>
                <w:sz w:val="18"/>
                <w:szCs w:val="18"/>
              </w:rPr>
            </w:pPr>
            <w:r w:rsidRPr="000D477C">
              <w:rPr>
                <w:sz w:val="18"/>
                <w:szCs w:val="18"/>
              </w:rPr>
              <w:t xml:space="preserve">ANO – zadavatel v této souvislosti </w:t>
            </w:r>
          </w:p>
          <w:p w14:paraId="0A83D115" w14:textId="77777777" w:rsidR="006D1FA9" w:rsidRDefault="006D1FA9" w:rsidP="006D1FA9">
            <w:pPr>
              <w:rPr>
                <w:sz w:val="18"/>
                <w:szCs w:val="18"/>
              </w:rPr>
            </w:pPr>
          </w:p>
          <w:p w14:paraId="6CA692D4" w14:textId="2E695D0C" w:rsidR="006D1FA9" w:rsidRDefault="006D1FA9" w:rsidP="00797FB2">
            <w:pPr>
              <w:pStyle w:val="Odstavecseseznamem"/>
              <w:numPr>
                <w:ilvl w:val="0"/>
                <w:numId w:val="18"/>
              </w:numPr>
              <w:ind w:left="358" w:hanging="3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Upravuje znění Pod-čl. 12.1. </w:t>
            </w:r>
            <w:r w:rsidR="00706DEF">
              <w:rPr>
                <w:sz w:val="18"/>
                <w:szCs w:val="18"/>
              </w:rPr>
              <w:t xml:space="preserve">ZOP </w:t>
            </w:r>
            <w:r w:rsidR="00706DEF">
              <w:rPr>
                <w:rFonts w:ascii="Arial" w:hAnsi="Arial" w:cs="Arial"/>
                <w:sz w:val="18"/>
                <w:szCs w:val="18"/>
              </w:rPr>
              <w:t>[</w:t>
            </w:r>
            <w:r w:rsidR="00706DEF">
              <w:rPr>
                <w:sz w:val="18"/>
                <w:szCs w:val="18"/>
              </w:rPr>
              <w:t>Měření díla</w:t>
            </w:r>
            <w:r w:rsidR="00706DEF">
              <w:rPr>
                <w:rFonts w:ascii="Arial" w:hAnsi="Arial" w:cs="Arial"/>
                <w:sz w:val="18"/>
                <w:szCs w:val="18"/>
              </w:rPr>
              <w:t>]</w:t>
            </w:r>
            <w:r w:rsidR="00706DEF">
              <w:rPr>
                <w:sz w:val="18"/>
                <w:szCs w:val="18"/>
              </w:rPr>
              <w:t xml:space="preserve">, kdy první odstavec nově zní takto: </w:t>
            </w:r>
          </w:p>
          <w:p w14:paraId="1B23628A" w14:textId="2443A359" w:rsidR="00706DEF" w:rsidRDefault="00706DEF" w:rsidP="00797FB2">
            <w:pPr>
              <w:pStyle w:val="Odstavecseseznamem"/>
              <w:ind w:left="358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97FB2">
              <w:rPr>
                <w:i/>
                <w:sz w:val="18"/>
                <w:szCs w:val="18"/>
              </w:rPr>
              <w:t>Dílo musí být pro účely platby Smluvní ceny měřeno a oceněno v souladu s tímto Článkem, a to ve všech položkách Soupisu prací s výkazem výměr, s výjimkou těch, které jsou označeny jako „komplet“</w:t>
            </w:r>
            <w:r>
              <w:rPr>
                <w:b/>
                <w:i/>
                <w:sz w:val="18"/>
                <w:szCs w:val="18"/>
              </w:rPr>
              <w:t xml:space="preserve"> nebo „kus“</w:t>
            </w:r>
            <w:r w:rsidRPr="00797FB2">
              <w:rPr>
                <w:i/>
                <w:sz w:val="18"/>
                <w:szCs w:val="18"/>
              </w:rPr>
              <w:t>. Pokud by kdykoliv v budoucnu zvýšení či snížení množství těch položek Soupisu prací s výkazem výměr, které nejsou označeny jako „komplet“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nebo „kus“</w:t>
            </w:r>
            <w:r w:rsidRPr="00797FB2">
              <w:rPr>
                <w:i/>
                <w:sz w:val="18"/>
                <w:szCs w:val="18"/>
              </w:rPr>
              <w:t>, na základě měření podle skutečné potřeby mělo být považováno za změnu závazku ze Smlouvy, pak nechť je tato změna považována za vyhrazenou změnu závazku ve smyslu § 100 odst. 1 a 222 odst. 2 ZZVZ. Měření bude prováděno v souladu s pravidly uvedenými v tomto Pod-článku a Příloze k nabídce. Ocenění změřené položky bude provedeno postupem podle Pod-článku 12.3 [Oceňování] písm. (a).</w:t>
            </w:r>
            <w:r w:rsidR="00222271">
              <w:rPr>
                <w:i/>
                <w:sz w:val="18"/>
                <w:szCs w:val="18"/>
              </w:rPr>
              <w:t>“</w:t>
            </w:r>
          </w:p>
          <w:p w14:paraId="51DE472D" w14:textId="048B165E" w:rsidR="00222271" w:rsidRDefault="00222271" w:rsidP="00797FB2">
            <w:pPr>
              <w:pStyle w:val="Odstavecseseznamem"/>
              <w:ind w:left="358"/>
              <w:rPr>
                <w:i/>
                <w:sz w:val="18"/>
                <w:szCs w:val="18"/>
              </w:rPr>
            </w:pPr>
          </w:p>
          <w:p w14:paraId="66E5C1A1" w14:textId="60748445" w:rsidR="00222271" w:rsidRPr="00797FB2" w:rsidRDefault="00222271" w:rsidP="00797FB2">
            <w:pPr>
              <w:pStyle w:val="Odstavecseseznamem"/>
              <w:ind w:left="3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Tato úprava bude promítnuta v </w:t>
            </w:r>
            <w:r>
              <w:rPr>
                <w:b/>
                <w:sz w:val="18"/>
                <w:szCs w:val="18"/>
              </w:rPr>
              <w:t>konsolidovaném znění ZOP</w:t>
            </w:r>
            <w:r>
              <w:rPr>
                <w:sz w:val="18"/>
                <w:szCs w:val="18"/>
              </w:rPr>
              <w:t xml:space="preserve">, které bude zadavatelem uveřejněno před koncem lhůty pro podání nabídek. </w:t>
            </w:r>
          </w:p>
          <w:p w14:paraId="137954B7" w14:textId="77777777" w:rsidR="006D1FA9" w:rsidRPr="00706DEF" w:rsidRDefault="006D1FA9" w:rsidP="006D1FA9">
            <w:pPr>
              <w:rPr>
                <w:sz w:val="18"/>
                <w:szCs w:val="18"/>
              </w:rPr>
            </w:pPr>
          </w:p>
          <w:p w14:paraId="7C8FE1F3" w14:textId="77777777" w:rsidR="006D1FA9" w:rsidRDefault="006D1FA9" w:rsidP="006D1FA9">
            <w:pPr>
              <w:rPr>
                <w:sz w:val="18"/>
                <w:szCs w:val="18"/>
              </w:rPr>
            </w:pPr>
          </w:p>
          <w:p w14:paraId="4C4EC6C8" w14:textId="44A3FEEF" w:rsidR="006D1FA9" w:rsidRPr="006D1FA9" w:rsidRDefault="006D1FA9" w:rsidP="00797FB2">
            <w:pPr>
              <w:pStyle w:val="Odstavecseseznamem"/>
              <w:numPr>
                <w:ilvl w:val="0"/>
                <w:numId w:val="18"/>
              </w:numPr>
              <w:ind w:left="358" w:hanging="361"/>
              <w:rPr>
                <w:sz w:val="18"/>
                <w:szCs w:val="18"/>
              </w:rPr>
            </w:pPr>
            <w:r w:rsidRPr="006D1FA9">
              <w:rPr>
                <w:sz w:val="18"/>
                <w:szCs w:val="18"/>
              </w:rPr>
              <w:t>V</w:t>
            </w:r>
            <w:r w:rsidRPr="00797FB2">
              <w:rPr>
                <w:sz w:val="18"/>
                <w:szCs w:val="18"/>
              </w:rPr>
              <w:t xml:space="preserve">ydává aktualizované znění </w:t>
            </w:r>
            <w:r w:rsidRPr="006D1FA9">
              <w:rPr>
                <w:sz w:val="18"/>
                <w:szCs w:val="18"/>
              </w:rPr>
              <w:t>Zadávací dokumentace</w:t>
            </w:r>
            <w:r>
              <w:rPr>
                <w:sz w:val="18"/>
                <w:szCs w:val="18"/>
              </w:rPr>
              <w:t>, které bude uveřejněno na profilu zadavatele v záložce „Zadávací dokumentace“ jako V2</w:t>
            </w:r>
            <w:r w:rsidR="008B17E7">
              <w:rPr>
                <w:sz w:val="18"/>
                <w:szCs w:val="18"/>
              </w:rPr>
              <w:t>, a to</w:t>
            </w:r>
            <w:r>
              <w:rPr>
                <w:sz w:val="18"/>
                <w:szCs w:val="18"/>
              </w:rPr>
              <w:t xml:space="preserve"> v</w:t>
            </w:r>
            <w:r w:rsidR="00706DEF">
              <w:rPr>
                <w:sz w:val="18"/>
                <w:szCs w:val="18"/>
              </w:rPr>
              <w:t>e verzi s vyznačenými změnami i v </w:t>
            </w:r>
            <w:proofErr w:type="spellStart"/>
            <w:r w:rsidR="00706DEF">
              <w:rPr>
                <w:sz w:val="18"/>
                <w:szCs w:val="18"/>
              </w:rPr>
              <w:t>čistopisné</w:t>
            </w:r>
            <w:proofErr w:type="spellEnd"/>
            <w:r w:rsidR="00706DEF">
              <w:rPr>
                <w:sz w:val="18"/>
                <w:szCs w:val="18"/>
              </w:rPr>
              <w:t xml:space="preserve"> verzi</w:t>
            </w:r>
            <w:r>
              <w:rPr>
                <w:sz w:val="18"/>
                <w:szCs w:val="18"/>
              </w:rPr>
              <w:t xml:space="preserve">. </w:t>
            </w:r>
            <w:r w:rsidRPr="006D1FA9">
              <w:rPr>
                <w:sz w:val="18"/>
                <w:szCs w:val="18"/>
              </w:rPr>
              <w:t xml:space="preserve"> </w:t>
            </w:r>
          </w:p>
          <w:p w14:paraId="22D59672" w14:textId="77777777" w:rsidR="006D1FA9" w:rsidRDefault="006D1FA9" w:rsidP="00797FB2">
            <w:pPr>
              <w:pStyle w:val="Odstavecseseznamem"/>
              <w:rPr>
                <w:sz w:val="18"/>
                <w:szCs w:val="18"/>
              </w:rPr>
            </w:pP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B65DD" w14:textId="77777777" w:rsidR="0084741D" w:rsidRDefault="0084741D" w:rsidP="00A92B70">
      <w:pPr>
        <w:spacing w:after="0" w:line="240" w:lineRule="auto"/>
      </w:pPr>
      <w:r>
        <w:separator/>
      </w:r>
    </w:p>
  </w:endnote>
  <w:endnote w:type="continuationSeparator" w:id="0">
    <w:p w14:paraId="593DB18F" w14:textId="77777777" w:rsidR="0084741D" w:rsidRDefault="0084741D" w:rsidP="00A92B70">
      <w:pPr>
        <w:spacing w:after="0" w:line="240" w:lineRule="auto"/>
      </w:pPr>
      <w:r>
        <w:continuationSeparator/>
      </w:r>
    </w:p>
  </w:endnote>
  <w:endnote w:type="continuationNotice" w:id="1">
    <w:p w14:paraId="3A73AD7A" w14:textId="77777777" w:rsidR="0084741D" w:rsidRDefault="008474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003DB29E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8B17E7">
              <w:rPr>
                <w:b/>
                <w:bCs/>
                <w:noProof/>
                <w:sz w:val="18"/>
                <w:szCs w:val="18"/>
              </w:rPr>
              <w:t>1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="008B17E7">
              <w:rPr>
                <w:b/>
                <w:bCs/>
                <w:noProof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3212B" w14:textId="77777777" w:rsidR="0084741D" w:rsidRDefault="0084741D" w:rsidP="00A92B70">
      <w:pPr>
        <w:spacing w:after="0" w:line="240" w:lineRule="auto"/>
      </w:pPr>
      <w:r>
        <w:separator/>
      </w:r>
    </w:p>
  </w:footnote>
  <w:footnote w:type="continuationSeparator" w:id="0">
    <w:p w14:paraId="64DF4411" w14:textId="77777777" w:rsidR="0084741D" w:rsidRDefault="0084741D" w:rsidP="00A92B70">
      <w:pPr>
        <w:spacing w:after="0" w:line="240" w:lineRule="auto"/>
      </w:pPr>
      <w:r>
        <w:continuationSeparator/>
      </w:r>
    </w:p>
  </w:footnote>
  <w:footnote w:type="continuationNotice" w:id="1">
    <w:p w14:paraId="01492F17" w14:textId="77777777" w:rsidR="0084741D" w:rsidRDefault="008474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E2B23"/>
    <w:multiLevelType w:val="hybridMultilevel"/>
    <w:tmpl w:val="57386FC2"/>
    <w:lvl w:ilvl="0" w:tplc="5F0CE62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13B0"/>
    <w:multiLevelType w:val="hybridMultilevel"/>
    <w:tmpl w:val="6038B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9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960BE6"/>
    <w:multiLevelType w:val="hybridMultilevel"/>
    <w:tmpl w:val="7A8833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5" w15:restartNumberingAfterBreak="0">
    <w:nsid w:val="723831D1"/>
    <w:multiLevelType w:val="hybridMultilevel"/>
    <w:tmpl w:val="D8AAAF92"/>
    <w:lvl w:ilvl="0" w:tplc="0A5E05F6">
      <w:start w:val="1"/>
      <w:numFmt w:val="decimal"/>
      <w:lvlText w:val="%1."/>
      <w:lvlJc w:val="left"/>
      <w:pPr>
        <w:ind w:left="1040" w:hanging="360"/>
      </w:pPr>
    </w:lvl>
    <w:lvl w:ilvl="1" w:tplc="30CEDB38">
      <w:start w:val="1"/>
      <w:numFmt w:val="decimal"/>
      <w:lvlText w:val="%2."/>
      <w:lvlJc w:val="left"/>
      <w:pPr>
        <w:ind w:left="1040" w:hanging="360"/>
      </w:pPr>
    </w:lvl>
    <w:lvl w:ilvl="2" w:tplc="AD843438">
      <w:start w:val="1"/>
      <w:numFmt w:val="decimal"/>
      <w:lvlText w:val="%3."/>
      <w:lvlJc w:val="left"/>
      <w:pPr>
        <w:ind w:left="1040" w:hanging="360"/>
      </w:pPr>
    </w:lvl>
    <w:lvl w:ilvl="3" w:tplc="B3844C00">
      <w:start w:val="1"/>
      <w:numFmt w:val="decimal"/>
      <w:lvlText w:val="%4."/>
      <w:lvlJc w:val="left"/>
      <w:pPr>
        <w:ind w:left="1040" w:hanging="360"/>
      </w:pPr>
    </w:lvl>
    <w:lvl w:ilvl="4" w:tplc="1B6A3080">
      <w:start w:val="1"/>
      <w:numFmt w:val="decimal"/>
      <w:lvlText w:val="%5."/>
      <w:lvlJc w:val="left"/>
      <w:pPr>
        <w:ind w:left="1040" w:hanging="360"/>
      </w:pPr>
    </w:lvl>
    <w:lvl w:ilvl="5" w:tplc="03400CCA">
      <w:start w:val="1"/>
      <w:numFmt w:val="decimal"/>
      <w:lvlText w:val="%6."/>
      <w:lvlJc w:val="left"/>
      <w:pPr>
        <w:ind w:left="1040" w:hanging="360"/>
      </w:pPr>
    </w:lvl>
    <w:lvl w:ilvl="6" w:tplc="1D4E98E4">
      <w:start w:val="1"/>
      <w:numFmt w:val="decimal"/>
      <w:lvlText w:val="%7."/>
      <w:lvlJc w:val="left"/>
      <w:pPr>
        <w:ind w:left="1040" w:hanging="360"/>
      </w:pPr>
    </w:lvl>
    <w:lvl w:ilvl="7" w:tplc="02CEE0CA">
      <w:start w:val="1"/>
      <w:numFmt w:val="decimal"/>
      <w:lvlText w:val="%8."/>
      <w:lvlJc w:val="left"/>
      <w:pPr>
        <w:ind w:left="1040" w:hanging="360"/>
      </w:pPr>
    </w:lvl>
    <w:lvl w:ilvl="8" w:tplc="5C4AEDFE">
      <w:start w:val="1"/>
      <w:numFmt w:val="decimal"/>
      <w:lvlText w:val="%9."/>
      <w:lvlJc w:val="left"/>
      <w:pPr>
        <w:ind w:left="1040" w:hanging="360"/>
      </w:pPr>
    </w:lvl>
  </w:abstractNum>
  <w:abstractNum w:abstractNumId="16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6131817">
    <w:abstractNumId w:val="2"/>
  </w:num>
  <w:num w:numId="2" w16cid:durableId="503016686">
    <w:abstractNumId w:val="8"/>
  </w:num>
  <w:num w:numId="3" w16cid:durableId="986202898">
    <w:abstractNumId w:val="6"/>
  </w:num>
  <w:num w:numId="4" w16cid:durableId="166217237">
    <w:abstractNumId w:val="13"/>
  </w:num>
  <w:num w:numId="5" w16cid:durableId="1674042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743959">
    <w:abstractNumId w:val="11"/>
  </w:num>
  <w:num w:numId="7" w16cid:durableId="546572622">
    <w:abstractNumId w:val="14"/>
  </w:num>
  <w:num w:numId="8" w16cid:durableId="1614744500">
    <w:abstractNumId w:val="0"/>
  </w:num>
  <w:num w:numId="9" w16cid:durableId="1654479864">
    <w:abstractNumId w:val="9"/>
  </w:num>
  <w:num w:numId="10" w16cid:durableId="1879512530">
    <w:abstractNumId w:val="12"/>
  </w:num>
  <w:num w:numId="11" w16cid:durableId="1276324511">
    <w:abstractNumId w:val="1"/>
  </w:num>
  <w:num w:numId="12" w16cid:durableId="2140106194">
    <w:abstractNumId w:val="7"/>
  </w:num>
  <w:num w:numId="13" w16cid:durableId="1649162508">
    <w:abstractNumId w:val="16"/>
  </w:num>
  <w:num w:numId="14" w16cid:durableId="684289905">
    <w:abstractNumId w:val="3"/>
  </w:num>
  <w:num w:numId="15" w16cid:durableId="822038755">
    <w:abstractNumId w:val="5"/>
  </w:num>
  <w:num w:numId="16" w16cid:durableId="1123841590">
    <w:abstractNumId w:val="15"/>
  </w:num>
  <w:num w:numId="17" w16cid:durableId="527302678">
    <w:abstractNumId w:val="4"/>
  </w:num>
  <w:num w:numId="18" w16cid:durableId="262884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C97"/>
    <w:rsid w:val="00003E94"/>
    <w:rsid w:val="000111C9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57997"/>
    <w:rsid w:val="00060103"/>
    <w:rsid w:val="0006084C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C38D1"/>
    <w:rsid w:val="000E0224"/>
    <w:rsid w:val="000E11AB"/>
    <w:rsid w:val="000F4B9E"/>
    <w:rsid w:val="000F548A"/>
    <w:rsid w:val="000F55BD"/>
    <w:rsid w:val="001071FB"/>
    <w:rsid w:val="001121FD"/>
    <w:rsid w:val="001241F5"/>
    <w:rsid w:val="0012528D"/>
    <w:rsid w:val="001252E6"/>
    <w:rsid w:val="00125BFC"/>
    <w:rsid w:val="001305F0"/>
    <w:rsid w:val="00136AC0"/>
    <w:rsid w:val="0014282C"/>
    <w:rsid w:val="0015318C"/>
    <w:rsid w:val="001539D9"/>
    <w:rsid w:val="00156D94"/>
    <w:rsid w:val="00162D1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B0A67"/>
    <w:rsid w:val="001C110D"/>
    <w:rsid w:val="001D1A0E"/>
    <w:rsid w:val="001D346A"/>
    <w:rsid w:val="001D71ED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22271"/>
    <w:rsid w:val="00230B4B"/>
    <w:rsid w:val="00234D63"/>
    <w:rsid w:val="00237F81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2F2685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12FB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0EBC"/>
    <w:rsid w:val="004029FC"/>
    <w:rsid w:val="004048D7"/>
    <w:rsid w:val="004308E6"/>
    <w:rsid w:val="00434724"/>
    <w:rsid w:val="00442AC9"/>
    <w:rsid w:val="004470AA"/>
    <w:rsid w:val="00456EC2"/>
    <w:rsid w:val="0046190B"/>
    <w:rsid w:val="00465C97"/>
    <w:rsid w:val="0046770C"/>
    <w:rsid w:val="00473583"/>
    <w:rsid w:val="00476654"/>
    <w:rsid w:val="004867A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18ED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1C98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5F2C99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1FA9"/>
    <w:rsid w:val="006D49E3"/>
    <w:rsid w:val="006D4F8E"/>
    <w:rsid w:val="006D5ABC"/>
    <w:rsid w:val="006E1169"/>
    <w:rsid w:val="006E2348"/>
    <w:rsid w:val="006F66FF"/>
    <w:rsid w:val="00706DEF"/>
    <w:rsid w:val="00707C9D"/>
    <w:rsid w:val="0071008A"/>
    <w:rsid w:val="00710C84"/>
    <w:rsid w:val="00712426"/>
    <w:rsid w:val="00720F47"/>
    <w:rsid w:val="007368EB"/>
    <w:rsid w:val="00736973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6C62"/>
    <w:rsid w:val="007903F5"/>
    <w:rsid w:val="00791505"/>
    <w:rsid w:val="00795D62"/>
    <w:rsid w:val="00797FB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17A7"/>
    <w:rsid w:val="007E39F7"/>
    <w:rsid w:val="007E4697"/>
    <w:rsid w:val="007F1C86"/>
    <w:rsid w:val="008062E5"/>
    <w:rsid w:val="00810592"/>
    <w:rsid w:val="008145E7"/>
    <w:rsid w:val="00815596"/>
    <w:rsid w:val="00816742"/>
    <w:rsid w:val="00816F6F"/>
    <w:rsid w:val="00817A7B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4741D"/>
    <w:rsid w:val="00860F30"/>
    <w:rsid w:val="00873024"/>
    <w:rsid w:val="00874376"/>
    <w:rsid w:val="00876089"/>
    <w:rsid w:val="008764FC"/>
    <w:rsid w:val="0087698B"/>
    <w:rsid w:val="00877A8A"/>
    <w:rsid w:val="00884630"/>
    <w:rsid w:val="00885824"/>
    <w:rsid w:val="008A0424"/>
    <w:rsid w:val="008A1C4B"/>
    <w:rsid w:val="008A2FB2"/>
    <w:rsid w:val="008B04D5"/>
    <w:rsid w:val="008B0A17"/>
    <w:rsid w:val="008B17E7"/>
    <w:rsid w:val="008B3A54"/>
    <w:rsid w:val="008C513B"/>
    <w:rsid w:val="008D3BEE"/>
    <w:rsid w:val="008D46D0"/>
    <w:rsid w:val="008D65BB"/>
    <w:rsid w:val="008D7F28"/>
    <w:rsid w:val="008E505B"/>
    <w:rsid w:val="008F059B"/>
    <w:rsid w:val="00914768"/>
    <w:rsid w:val="009167F0"/>
    <w:rsid w:val="00921934"/>
    <w:rsid w:val="00923FDF"/>
    <w:rsid w:val="00931958"/>
    <w:rsid w:val="00933C87"/>
    <w:rsid w:val="00934784"/>
    <w:rsid w:val="00935372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01A5"/>
    <w:rsid w:val="009A50F8"/>
    <w:rsid w:val="009A6155"/>
    <w:rsid w:val="009B1D2B"/>
    <w:rsid w:val="009B2B14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289"/>
    <w:rsid w:val="00A864DE"/>
    <w:rsid w:val="00A92B70"/>
    <w:rsid w:val="00A961A7"/>
    <w:rsid w:val="00AA1F70"/>
    <w:rsid w:val="00AA46BC"/>
    <w:rsid w:val="00AA7081"/>
    <w:rsid w:val="00AA7F1D"/>
    <w:rsid w:val="00AB58BB"/>
    <w:rsid w:val="00AC4C01"/>
    <w:rsid w:val="00AD2901"/>
    <w:rsid w:val="00AD303F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6A20"/>
    <w:rsid w:val="00B21305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6B6E"/>
    <w:rsid w:val="00BC767E"/>
    <w:rsid w:val="00BE1201"/>
    <w:rsid w:val="00BE1798"/>
    <w:rsid w:val="00BF6F4D"/>
    <w:rsid w:val="00C00E67"/>
    <w:rsid w:val="00C049EA"/>
    <w:rsid w:val="00C05F89"/>
    <w:rsid w:val="00C064C4"/>
    <w:rsid w:val="00C17BC6"/>
    <w:rsid w:val="00C206A5"/>
    <w:rsid w:val="00C30FBC"/>
    <w:rsid w:val="00C354D4"/>
    <w:rsid w:val="00C50B2D"/>
    <w:rsid w:val="00C54671"/>
    <w:rsid w:val="00C6074D"/>
    <w:rsid w:val="00C647D9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676B0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D417E"/>
    <w:rsid w:val="00DE5FF5"/>
    <w:rsid w:val="00DE66F6"/>
    <w:rsid w:val="00DE6ADD"/>
    <w:rsid w:val="00DF46E6"/>
    <w:rsid w:val="00DF6FAE"/>
    <w:rsid w:val="00DF79C6"/>
    <w:rsid w:val="00E019B3"/>
    <w:rsid w:val="00E13573"/>
    <w:rsid w:val="00E266A6"/>
    <w:rsid w:val="00E30E76"/>
    <w:rsid w:val="00E31FE5"/>
    <w:rsid w:val="00E41567"/>
    <w:rsid w:val="00E42A06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4E6"/>
    <w:rsid w:val="00EC7944"/>
    <w:rsid w:val="00ED36BD"/>
    <w:rsid w:val="00ED3ACF"/>
    <w:rsid w:val="00EE56DF"/>
    <w:rsid w:val="00EF3466"/>
    <w:rsid w:val="00EF4185"/>
    <w:rsid w:val="00EF6BF0"/>
    <w:rsid w:val="00F018E4"/>
    <w:rsid w:val="00F027B8"/>
    <w:rsid w:val="00F03F62"/>
    <w:rsid w:val="00F20EDD"/>
    <w:rsid w:val="00F243D4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2323"/>
    <w:rsid w:val="00FA3466"/>
    <w:rsid w:val="00FA5FD6"/>
    <w:rsid w:val="00FB0616"/>
    <w:rsid w:val="00FB1882"/>
    <w:rsid w:val="00FB39AF"/>
    <w:rsid w:val="00FB599E"/>
    <w:rsid w:val="00FC377F"/>
    <w:rsid w:val="00FC3F87"/>
    <w:rsid w:val="00FD2994"/>
    <w:rsid w:val="00FD4953"/>
    <w:rsid w:val="00FD7A62"/>
    <w:rsid w:val="00FD7ABC"/>
    <w:rsid w:val="00FE0583"/>
    <w:rsid w:val="00FE0A71"/>
    <w:rsid w:val="00FE6F50"/>
    <w:rsid w:val="00FF1031"/>
    <w:rsid w:val="00FF6080"/>
    <w:rsid w:val="00FF6BE3"/>
    <w:rsid w:val="02984651"/>
    <w:rsid w:val="14BA1A39"/>
    <w:rsid w:val="16A449C0"/>
    <w:rsid w:val="2C837281"/>
    <w:rsid w:val="2FAA4D49"/>
    <w:rsid w:val="41DC0FA7"/>
    <w:rsid w:val="44A4640A"/>
    <w:rsid w:val="5F100DE4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0111C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11C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11C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11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11C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1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11C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F2C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7</cp:revision>
  <dcterms:created xsi:type="dcterms:W3CDTF">2025-05-05T06:13:00Z</dcterms:created>
  <dcterms:modified xsi:type="dcterms:W3CDTF">2025-05-05T10:53:00Z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