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55"/>
        <w:gridCol w:w="5507"/>
      </w:tblGrid>
      <w:tr w:rsidR="00465C97" w:rsidTr="38FF6B29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38FF6B29" w14:paraId="2213077F" w14:textId="77777777">
        <w:trPr>
          <w:trHeight w:val="3798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3D4A7F" w:rsidR="003D4A7F" w:rsidP="003D4A7F" w:rsidRDefault="003D4A7F" w14:paraId="1E6491B9" w14:textId="05358B13">
            <w:pPr>
              <w:spacing w:line="276" w:lineRule="auto"/>
              <w:rPr>
                <w:rFonts w:ascii="Calibri" w:hAnsi="Calibri" w:eastAsia="Calibri" w:cs="Calibri"/>
              </w:rPr>
            </w:pPr>
            <w:r w:rsidRPr="003D4A7F">
              <w:rPr>
                <w:rFonts w:ascii="Aptos" w:hAnsi="Aptos" w:eastAsia="Calibri" w:cs="Calibri"/>
                <w:b/>
                <w:bCs/>
              </w:rPr>
              <w:t>8.</w:t>
            </w:r>
            <w:r>
              <w:rPr>
                <w:rFonts w:ascii="Aptos" w:hAnsi="Aptos" w:eastAsia="Calibri" w:cs="Calibri"/>
                <w:b/>
                <w:bCs/>
              </w:rPr>
              <w:t xml:space="preserve"> </w:t>
            </w:r>
            <w:r w:rsidRPr="003D4A7F">
              <w:rPr>
                <w:rFonts w:ascii="Aptos" w:hAnsi="Aptos" w:eastAsia="Calibri" w:cs="Calibri"/>
                <w:b/>
                <w:bCs/>
              </w:rPr>
              <w:t>PS 8000/PS8100, výzbroj rozvaděčů</w:t>
            </w:r>
            <w:r w:rsidRPr="003D4A7F">
              <w:rPr>
                <w:rFonts w:ascii="Aptos" w:hAnsi="Aptos" w:eastAsia="Calibri" w:cs="Calibri"/>
              </w:rPr>
              <w:t> </w:t>
            </w:r>
          </w:p>
          <w:p w:rsidRPr="00CF60C5" w:rsidR="003D4A7F" w:rsidP="00CF60C5" w:rsidRDefault="003D4A7F" w14:paraId="13373782" w14:textId="77777777">
            <w:pPr>
              <w:spacing w:line="276" w:lineRule="auto"/>
              <w:rPr>
                <w:rFonts w:ascii="Calibri" w:hAnsi="Calibri" w:eastAsia="Calibri" w:cs="Calibri"/>
              </w:rPr>
            </w:pPr>
            <w:r w:rsidRPr="00CF60C5">
              <w:rPr>
                <w:rFonts w:ascii="Aptos" w:hAnsi="Aptos" w:eastAsia="Calibri" w:cs="Calibri"/>
              </w:rPr>
              <w:t>Rozváděče 25RM14 a 25RM15 v PS 8000/PS 8100 nemají v soupisu prací s</w:t>
            </w:r>
            <w:r w:rsidRPr="00CF60C5">
              <w:rPr>
                <w:rFonts w:ascii="Arial" w:hAnsi="Arial" w:eastAsia="Calibri" w:cs="Arial"/>
              </w:rPr>
              <w:t> </w:t>
            </w:r>
            <w:r w:rsidRPr="00CF60C5">
              <w:rPr>
                <w:rFonts w:ascii="Aptos" w:hAnsi="Aptos" w:eastAsia="Calibri" w:cs="Calibri"/>
              </w:rPr>
              <w:t>v</w:t>
            </w:r>
            <w:r w:rsidRPr="00CF60C5">
              <w:rPr>
                <w:rFonts w:ascii="Aptos" w:hAnsi="Aptos" w:eastAsia="Calibri" w:cs="Aptos"/>
              </w:rPr>
              <w:t>ý</w:t>
            </w:r>
            <w:r w:rsidRPr="00CF60C5">
              <w:rPr>
                <w:rFonts w:ascii="Aptos" w:hAnsi="Aptos" w:eastAsia="Calibri" w:cs="Calibri"/>
              </w:rPr>
              <w:t>kazem v</w:t>
            </w:r>
            <w:r w:rsidRPr="00CF60C5">
              <w:rPr>
                <w:rFonts w:ascii="Aptos" w:hAnsi="Aptos" w:eastAsia="Calibri" w:cs="Aptos"/>
              </w:rPr>
              <w:t>ý</w:t>
            </w:r>
            <w:r w:rsidRPr="00CF60C5">
              <w:rPr>
                <w:rFonts w:ascii="Aptos" w:hAnsi="Aptos" w:eastAsia="Calibri" w:cs="Calibri"/>
              </w:rPr>
              <w:t>m</w:t>
            </w:r>
            <w:r w:rsidRPr="00CF60C5">
              <w:rPr>
                <w:rFonts w:ascii="Aptos" w:hAnsi="Aptos" w:eastAsia="Calibri" w:cs="Aptos"/>
              </w:rPr>
              <w:t>ě</w:t>
            </w:r>
            <w:r w:rsidRPr="00CF60C5">
              <w:rPr>
                <w:rFonts w:ascii="Aptos" w:hAnsi="Aptos" w:eastAsia="Calibri" w:cs="Calibri"/>
              </w:rPr>
              <w:t>r, ECS, p</w:t>
            </w:r>
            <w:r w:rsidRPr="00CF60C5">
              <w:rPr>
                <w:rFonts w:ascii="Aptos" w:hAnsi="Aptos" w:eastAsia="Calibri" w:cs="Aptos"/>
              </w:rPr>
              <w:t>ř</w:t>
            </w:r>
            <w:r w:rsidRPr="00CF60C5">
              <w:rPr>
                <w:rFonts w:ascii="Aptos" w:hAnsi="Aptos" w:eastAsia="Calibri" w:cs="Calibri"/>
              </w:rPr>
              <w:t>edepsanou v</w:t>
            </w:r>
            <w:r w:rsidRPr="00CF60C5">
              <w:rPr>
                <w:rFonts w:ascii="Aptos" w:hAnsi="Aptos" w:eastAsia="Calibri" w:cs="Aptos"/>
              </w:rPr>
              <w:t>ý</w:t>
            </w:r>
            <w:r w:rsidRPr="00CF60C5">
              <w:rPr>
                <w:rFonts w:ascii="Aptos" w:hAnsi="Aptos" w:eastAsia="Calibri" w:cs="Calibri"/>
              </w:rPr>
              <w:t xml:space="preserve">zbroj IEC61850 </w:t>
            </w:r>
            <w:r w:rsidRPr="00CF60C5">
              <w:rPr>
                <w:rFonts w:ascii="Aptos" w:hAnsi="Aptos" w:eastAsia="Calibri" w:cs="Aptos"/>
              </w:rPr>
              <w:t>–</w:t>
            </w:r>
            <w:r w:rsidRPr="00CF60C5">
              <w:rPr>
                <w:rFonts w:ascii="Aptos" w:hAnsi="Aptos" w:eastAsia="Calibri" w:cs="Calibri"/>
              </w:rPr>
              <w:t xml:space="preserve"> p</w:t>
            </w:r>
            <w:r w:rsidRPr="00CF60C5">
              <w:rPr>
                <w:rFonts w:ascii="Aptos" w:hAnsi="Aptos" w:eastAsia="Calibri" w:cs="Aptos"/>
              </w:rPr>
              <w:t>ř</w:t>
            </w:r>
            <w:r w:rsidRPr="00CF60C5">
              <w:rPr>
                <w:rFonts w:ascii="Aptos" w:hAnsi="Aptos" w:eastAsia="Calibri" w:cs="Calibri"/>
              </w:rPr>
              <w:t>esto je v p</w:t>
            </w:r>
            <w:r w:rsidRPr="00CF60C5">
              <w:rPr>
                <w:rFonts w:ascii="Aptos" w:hAnsi="Aptos" w:eastAsia="Calibri" w:cs="Aptos"/>
              </w:rPr>
              <w:t>ří</w:t>
            </w:r>
            <w:r w:rsidRPr="00CF60C5">
              <w:rPr>
                <w:rFonts w:ascii="Aptos" w:hAnsi="Aptos" w:eastAsia="Calibri" w:cs="Calibri"/>
              </w:rPr>
              <w:t>loze D.2.3.06.5.4 uvedeno m</w:t>
            </w:r>
            <w:r w:rsidRPr="00CF60C5">
              <w:rPr>
                <w:rFonts w:ascii="Aptos" w:hAnsi="Aptos" w:eastAsia="Calibri" w:cs="Aptos"/>
              </w:rPr>
              <w:t>ěř</w:t>
            </w:r>
            <w:r w:rsidRPr="00CF60C5">
              <w:rPr>
                <w:rFonts w:ascii="Aptos" w:hAnsi="Aptos" w:eastAsia="Calibri" w:cs="Calibri"/>
              </w:rPr>
              <w:t>en</w:t>
            </w:r>
            <w:r w:rsidRPr="00CF60C5">
              <w:rPr>
                <w:rFonts w:ascii="Aptos" w:hAnsi="Aptos" w:eastAsia="Calibri" w:cs="Aptos"/>
              </w:rPr>
              <w:t>í</w:t>
            </w:r>
            <w:r w:rsidRPr="00CF60C5">
              <w:rPr>
                <w:rFonts w:ascii="Aptos" w:hAnsi="Aptos" w:eastAsia="Calibri" w:cs="Calibri"/>
              </w:rPr>
              <w:t xml:space="preserve"> spot</w:t>
            </w:r>
            <w:r w:rsidRPr="00CF60C5">
              <w:rPr>
                <w:rFonts w:ascii="Aptos" w:hAnsi="Aptos" w:eastAsia="Calibri" w:cs="Aptos"/>
              </w:rPr>
              <w:t>ř</w:t>
            </w:r>
            <w:r w:rsidRPr="00CF60C5">
              <w:rPr>
                <w:rFonts w:ascii="Aptos" w:hAnsi="Aptos" w:eastAsia="Calibri" w:cs="Calibri"/>
              </w:rPr>
              <w:t>eby v</w:t>
            </w:r>
            <w:r w:rsidRPr="00CF60C5">
              <w:rPr>
                <w:rFonts w:ascii="Aptos" w:hAnsi="Aptos" w:eastAsia="Calibri" w:cs="Aptos"/>
              </w:rPr>
              <w:t>ý</w:t>
            </w:r>
            <w:r w:rsidRPr="00CF60C5">
              <w:rPr>
                <w:rFonts w:ascii="Aptos" w:hAnsi="Aptos" w:eastAsia="Calibri" w:cs="Calibri"/>
              </w:rPr>
              <w:t>vodu (dmychadla).</w:t>
            </w:r>
            <w:r w:rsidRPr="00CF60C5">
              <w:rPr>
                <w:rFonts w:ascii="Aptos" w:hAnsi="Aptos" w:eastAsia="Calibri" w:cs="Aptos"/>
              </w:rPr>
              <w:t> </w:t>
            </w:r>
          </w:p>
          <w:p w:rsidRPr="00CF60C5" w:rsidR="003D4A7F" w:rsidP="00CF60C5" w:rsidRDefault="003D4A7F" w14:paraId="48592CC6" w14:textId="77777777">
            <w:pPr>
              <w:spacing w:line="276" w:lineRule="auto"/>
              <w:rPr>
                <w:rFonts w:ascii="Calibri" w:hAnsi="Calibri" w:eastAsia="Calibri" w:cs="Calibri"/>
              </w:rPr>
            </w:pPr>
            <w:r w:rsidRPr="00CF60C5">
              <w:rPr>
                <w:rFonts w:ascii="Aptos" w:hAnsi="Aptos" w:eastAsia="Calibri" w:cs="Calibri"/>
              </w:rPr>
              <w:t>Obdobně je to tak i u rozváděčů 22MT102A, B, 103A, B, které přísluší rozvodně R22 a z ní napájených rozváděčů 22RM11, 12, 13, resp. 22DT101, 102 103 pro usazovací nádrže SO04 a PS 5106A, kde jsou specifikovány položky „rozvaděč pro řízení kompletního vystrojení usazovací nádrže a všech pohonů ...“ bez funkčního označení. </w:t>
            </w:r>
          </w:p>
          <w:p w:rsidRPr="00CF60C5" w:rsidR="003D4A7F" w:rsidP="00CF60C5" w:rsidRDefault="003D4A7F" w14:paraId="20178AC3" w14:textId="77777777">
            <w:pPr>
              <w:spacing w:line="276" w:lineRule="auto"/>
              <w:rPr>
                <w:rFonts w:ascii="Calibri" w:hAnsi="Calibri" w:eastAsia="Calibri" w:cs="Calibri"/>
              </w:rPr>
            </w:pPr>
            <w:r w:rsidRPr="00CF60C5">
              <w:rPr>
                <w:rFonts w:ascii="Aptos" w:hAnsi="Aptos" w:eastAsia="Calibri" w:cs="Calibri"/>
              </w:rPr>
              <w:t>Nelze tedy posoudit, zda rozváděče v PS 5106A jsou totožné s 22MT10x specifikovanými v PS8100. (25MT10x ve specifikace PS8100 nejsou, ale jsou uvedeny v technické zprávě). </w:t>
            </w:r>
          </w:p>
          <w:p w:rsidRPr="00CF60C5" w:rsidR="000C2E2F" w:rsidP="00CF60C5" w:rsidRDefault="003D4A7F" w14:paraId="2034BBBD" w14:textId="7731676C">
            <w:pPr>
              <w:spacing w:line="276" w:lineRule="auto"/>
              <w:rPr>
                <w:rFonts w:ascii="Calibri" w:hAnsi="Calibri" w:eastAsia="Calibri" w:cs="Calibri"/>
              </w:rPr>
            </w:pPr>
            <w:r w:rsidRPr="00CF60C5">
              <w:rPr>
                <w:rFonts w:ascii="Aptos" w:hAnsi="Aptos" w:eastAsia="Calibri" w:cs="Calibri"/>
              </w:rPr>
              <w:t>Vyjasní zadavatel předepsanou výzbroj rozvaděčů? </w:t>
            </w:r>
          </w:p>
        </w:tc>
      </w:tr>
      <w:tr w:rsidR="00A92B70" w:rsidTr="38FF6B29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8FF6B29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CF60C5" w14:paraId="025AF692" w14:textId="78F37C06">
            <w:pPr>
              <w:jc w:val="center"/>
              <w:rPr>
                <w:b/>
                <w:bCs/>
              </w:rPr>
            </w:pPr>
            <w:r w:rsidRPr="00CF60C5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38FF6B29" w14:paraId="6B15575A" w14:textId="77777777">
        <w:trPr>
          <w:trHeight w:val="703"/>
        </w:trPr>
        <w:tc>
          <w:tcPr>
            <w:tcW w:w="9062" w:type="dxa"/>
            <w:gridSpan w:val="2"/>
            <w:tcMar/>
          </w:tcPr>
          <w:p w:rsidRPr="00DD398C" w:rsidR="00465C97" w:rsidP="00CF60C5" w:rsidRDefault="005F19B1" w14:noSpellErr="1" w14:paraId="0059B8F5" w14:textId="1DFA9C26">
            <w:pPr>
              <w:spacing w:line="0" w:lineRule="atLeast"/>
            </w:pPr>
            <w:r w:rsidR="005F19B1">
              <w:rPr/>
              <w:t>Tyto vývody dmychadel jsou osazeny frekvenčními měniči (FM). FM jsou mimo rozvaděč a jsou následně komunikačně připojeny do systému SCADA, kam jsou přenášeny všechny potřebné parametry. </w:t>
            </w:r>
          </w:p>
          <w:p w:rsidRPr="00DD398C" w:rsidR="00465C97" w:rsidP="00CF60C5" w:rsidRDefault="005F19B1" w14:paraId="25849A04" w14:textId="0EBA9976">
            <w:pPr>
              <w:spacing w:line="0" w:lineRule="atLeast"/>
            </w:pPr>
          </w:p>
        </w:tc>
      </w:tr>
      <w:tr w:rsidR="00465C97" w:rsidTr="38FF6B29" w14:paraId="2972FBC8" w14:textId="77777777">
        <w:trPr>
          <w:trHeight w:val="567"/>
        </w:trPr>
        <w:tc>
          <w:tcPr>
            <w:tcW w:w="355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07" w:type="dxa"/>
            <w:tcMar/>
            <w:vAlign w:val="center"/>
          </w:tcPr>
          <w:p w:rsidRPr="00A92B70" w:rsidR="00465C97" w:rsidP="00A92B70" w:rsidRDefault="3E3CFD87" w14:paraId="4ED701F5" w14:textId="09FB0D7F">
            <w:pPr>
              <w:rPr>
                <w:sz w:val="18"/>
                <w:szCs w:val="18"/>
              </w:rPr>
            </w:pPr>
            <w:r w:rsidRPr="25C3D160">
              <w:rPr>
                <w:sz w:val="18"/>
                <w:szCs w:val="18"/>
              </w:rPr>
              <w:t>NE</w:t>
            </w:r>
          </w:p>
        </w:tc>
      </w:tr>
      <w:tr w:rsidR="00465C97" w:rsidTr="38FF6B29" w14:paraId="725C6F24" w14:textId="77777777">
        <w:trPr>
          <w:trHeight w:val="567"/>
        </w:trPr>
        <w:tc>
          <w:tcPr>
            <w:tcW w:w="355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0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74C8356E" w14:paraId="752A49C1" w14:textId="4B59882E">
            <w:pPr>
              <w:rPr>
                <w:sz w:val="18"/>
                <w:szCs w:val="18"/>
              </w:rPr>
            </w:pPr>
            <w:r w:rsidRPr="25C3D160"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508D5" w:rsidP="00A92B70" w:rsidRDefault="00A508D5" w14:paraId="40DA125E" w14:textId="77777777">
      <w:pPr>
        <w:spacing w:after="0" w:line="240" w:lineRule="auto"/>
      </w:pPr>
      <w:r>
        <w:separator/>
      </w:r>
    </w:p>
  </w:endnote>
  <w:endnote w:type="continuationSeparator" w:id="0">
    <w:p w:rsidR="00A508D5" w:rsidP="00A92B70" w:rsidRDefault="00A508D5" w14:paraId="49B5EA94" w14:textId="77777777">
      <w:pPr>
        <w:spacing w:after="0" w:line="240" w:lineRule="auto"/>
      </w:pPr>
      <w:r>
        <w:continuationSeparator/>
      </w:r>
    </w:p>
  </w:endnote>
  <w:endnote w:type="continuationNotice" w:id="1">
    <w:p w:rsidR="00A508D5" w:rsidRDefault="00A508D5" w14:paraId="6B144CC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508D5" w:rsidP="00A92B70" w:rsidRDefault="00A508D5" w14:paraId="110D0B61" w14:textId="77777777">
      <w:pPr>
        <w:spacing w:after="0" w:line="240" w:lineRule="auto"/>
      </w:pPr>
      <w:r>
        <w:separator/>
      </w:r>
    </w:p>
  </w:footnote>
  <w:footnote w:type="continuationSeparator" w:id="0">
    <w:p w:rsidR="00A508D5" w:rsidP="00A92B70" w:rsidRDefault="00A508D5" w14:paraId="3A7C7431" w14:textId="77777777">
      <w:pPr>
        <w:spacing w:after="0" w:line="240" w:lineRule="auto"/>
      </w:pPr>
      <w:r>
        <w:continuationSeparator/>
      </w:r>
    </w:p>
  </w:footnote>
  <w:footnote w:type="continuationNotice" w:id="1">
    <w:p w:rsidR="00A508D5" w:rsidRDefault="00A508D5" w14:paraId="4B94D54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0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7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3"/>
  </w:num>
  <w:num w:numId="2" w16cid:durableId="1973634022">
    <w:abstractNumId w:val="9"/>
  </w:num>
  <w:num w:numId="3" w16cid:durableId="484660608">
    <w:abstractNumId w:val="6"/>
  </w:num>
  <w:num w:numId="4" w16cid:durableId="1532374042">
    <w:abstractNumId w:val="15"/>
  </w:num>
  <w:num w:numId="5" w16cid:durableId="19727855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2"/>
  </w:num>
  <w:num w:numId="7" w16cid:durableId="1371609549">
    <w:abstractNumId w:val="16"/>
  </w:num>
  <w:num w:numId="8" w16cid:durableId="1617638956">
    <w:abstractNumId w:val="0"/>
  </w:num>
  <w:num w:numId="9" w16cid:durableId="1659654614">
    <w:abstractNumId w:val="11"/>
  </w:num>
  <w:num w:numId="10" w16cid:durableId="648483019">
    <w:abstractNumId w:val="14"/>
  </w:num>
  <w:num w:numId="11" w16cid:durableId="1978603343">
    <w:abstractNumId w:val="2"/>
  </w:num>
  <w:num w:numId="12" w16cid:durableId="1662851069">
    <w:abstractNumId w:val="7"/>
  </w:num>
  <w:num w:numId="13" w16cid:durableId="747532260">
    <w:abstractNumId w:val="19"/>
  </w:num>
  <w:num w:numId="14" w16cid:durableId="557908502">
    <w:abstractNumId w:val="4"/>
  </w:num>
  <w:num w:numId="15" w16cid:durableId="2062820689">
    <w:abstractNumId w:val="5"/>
  </w:num>
  <w:num w:numId="16" w16cid:durableId="580673651">
    <w:abstractNumId w:val="10"/>
  </w:num>
  <w:num w:numId="17" w16cid:durableId="292098033">
    <w:abstractNumId w:val="17"/>
  </w:num>
  <w:num w:numId="18" w16cid:durableId="265769304">
    <w:abstractNumId w:val="1"/>
  </w:num>
  <w:num w:numId="19" w16cid:durableId="875892945">
    <w:abstractNumId w:val="18"/>
  </w:num>
  <w:num w:numId="20" w16cid:durableId="82145441">
    <w:abstractNumId w:val="13"/>
  </w:num>
  <w:num w:numId="21" w16cid:durableId="16358663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282C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27F5"/>
    <w:rsid w:val="004A51CB"/>
    <w:rsid w:val="004A5F1E"/>
    <w:rsid w:val="004B210A"/>
    <w:rsid w:val="004B49B0"/>
    <w:rsid w:val="004B7DD4"/>
    <w:rsid w:val="004C318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396B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5F19B1"/>
    <w:rsid w:val="00601315"/>
    <w:rsid w:val="00603A9A"/>
    <w:rsid w:val="006060D4"/>
    <w:rsid w:val="006150AC"/>
    <w:rsid w:val="006173CF"/>
    <w:rsid w:val="006213D8"/>
    <w:rsid w:val="006222C4"/>
    <w:rsid w:val="0062311F"/>
    <w:rsid w:val="00624350"/>
    <w:rsid w:val="00631A47"/>
    <w:rsid w:val="00631D48"/>
    <w:rsid w:val="00651C40"/>
    <w:rsid w:val="006539E1"/>
    <w:rsid w:val="006548DE"/>
    <w:rsid w:val="006653E6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26932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A75E7"/>
    <w:rsid w:val="008B0A17"/>
    <w:rsid w:val="008B3A54"/>
    <w:rsid w:val="008C251B"/>
    <w:rsid w:val="008C4D16"/>
    <w:rsid w:val="008D3BEE"/>
    <w:rsid w:val="008D46D0"/>
    <w:rsid w:val="008D65BB"/>
    <w:rsid w:val="008D7AEF"/>
    <w:rsid w:val="008D7F28"/>
    <w:rsid w:val="008E505B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08D5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07F23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AEF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2FBC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0C5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06B"/>
    <w:rsid w:val="00DE5FF5"/>
    <w:rsid w:val="00DE66F6"/>
    <w:rsid w:val="00DE6ADD"/>
    <w:rsid w:val="00DF46E6"/>
    <w:rsid w:val="00DF68A5"/>
    <w:rsid w:val="00DF6FAE"/>
    <w:rsid w:val="00DF79C6"/>
    <w:rsid w:val="00E019B3"/>
    <w:rsid w:val="00E1357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377F"/>
    <w:rsid w:val="00FC3F87"/>
    <w:rsid w:val="00FD2994"/>
    <w:rsid w:val="00FD7A62"/>
    <w:rsid w:val="00FD7ABC"/>
    <w:rsid w:val="00FE0583"/>
    <w:rsid w:val="00FE0A71"/>
    <w:rsid w:val="00FE3C10"/>
    <w:rsid w:val="00FE6F50"/>
    <w:rsid w:val="00FF1031"/>
    <w:rsid w:val="00FF6080"/>
    <w:rsid w:val="00FF6BE3"/>
    <w:rsid w:val="14BA1A39"/>
    <w:rsid w:val="25C3D160"/>
    <w:rsid w:val="2C837281"/>
    <w:rsid w:val="2FAA4D49"/>
    <w:rsid w:val="38FF6B29"/>
    <w:rsid w:val="3E3CFD87"/>
    <w:rsid w:val="41DC0FA7"/>
    <w:rsid w:val="44A4640A"/>
    <w:rsid w:val="6EC196AF"/>
    <w:rsid w:val="710BFC6F"/>
    <w:rsid w:val="74C8356E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2025-02-24T09:24:00.0000000Z</dcterms:created>
  <dcterms:modified xsi:type="dcterms:W3CDTF">2025-05-06T04:35:55.9398622Z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