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942"/>
        <w:gridCol w:w="5267"/>
      </w:tblGrid>
      <w:tr w:rsidR="00465C97" w14:paraId="0C6980EA" w14:textId="77777777" w:rsidTr="008D2B21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8D2B21">
        <w:trPr>
          <w:trHeight w:val="3071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3895B7CB" w14:textId="2BBDCC9F" w:rsidR="000C2E2F" w:rsidRPr="00540296" w:rsidRDefault="0B92BA60" w:rsidP="19606319">
            <w:pPr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19606319">
              <w:rPr>
                <w:rFonts w:ascii="Aptos" w:eastAsia="Calibri" w:hAnsi="Aptos" w:cs="Calibri"/>
                <w:b/>
                <w:bCs/>
              </w:rPr>
              <w:t>4</w:t>
            </w:r>
            <w:r w:rsidR="712438F7" w:rsidRPr="00540296">
              <w:rPr>
                <w:rFonts w:eastAsia="Calibri" w:cs="Calibri"/>
                <w:b/>
                <w:bCs/>
              </w:rPr>
              <w:t>.</w:t>
            </w:r>
            <w:r w:rsidR="06F4C97C" w:rsidRPr="00540296">
              <w:rPr>
                <w:rFonts w:eastAsia="Calibri" w:cs="Calibri"/>
                <w:b/>
                <w:bCs/>
              </w:rPr>
              <w:t>Nejasnost v položkách pro část 9052 demontáže technologické části elektro</w:t>
            </w:r>
          </w:p>
          <w:p w14:paraId="40C0066C" w14:textId="60A9E7D9" w:rsidR="000C2E2F" w:rsidRPr="00540296" w:rsidRDefault="06F4C97C" w:rsidP="19606319">
            <w:pPr>
              <w:pStyle w:val="Odstavecseseznamem"/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 xml:space="preserve">V technické specifikaci části elektro (podklad D.2.1.9052.02) jsou poměrně podrobně uvedené pouze demontáže elektrozařízení. V soupisu prací s výkazem výměr (podklad „P6 ZD - Technická specifikace_(ii) Soupis prací s výkazem výměr.xlsx“) je ve všech listech týkajících se demontáží elektro uvedeno jako část „Společné položky“ cca 10 položek. </w:t>
            </w:r>
          </w:p>
          <w:p w14:paraId="5947174A" w14:textId="08C6F4A6" w:rsidR="000C2E2F" w:rsidRPr="00540296" w:rsidRDefault="06F4C97C" w:rsidP="19606319">
            <w:pPr>
              <w:pStyle w:val="Odstavecseseznamem"/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>Jako příklad uvádíme „A3 - A3 - Čerpací stanice..._01“, v části D11 např. tyto Společné položky:</w:t>
            </w:r>
          </w:p>
          <w:tbl>
            <w:tblPr>
              <w:tblW w:w="0" w:type="auto"/>
              <w:tblInd w:w="705" w:type="dxa"/>
              <w:tblLayout w:type="fixed"/>
              <w:tblLook w:val="04A0" w:firstRow="1" w:lastRow="0" w:firstColumn="1" w:lastColumn="0" w:noHBand="0" w:noVBand="1"/>
            </w:tblPr>
            <w:tblGrid>
              <w:gridCol w:w="1363"/>
              <w:gridCol w:w="4516"/>
              <w:gridCol w:w="935"/>
              <w:gridCol w:w="1454"/>
            </w:tblGrid>
            <w:tr w:rsidR="19606319" w:rsidRPr="00540296" w14:paraId="78EAC005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7BD0BE24" w14:textId="0C11A189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A3D028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E7D45AE" w14:textId="4FC9E946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Ostatní demontážní práce výše nespecifikované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B8C7AA" w14:textId="79CB1AAB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279FFB" w14:textId="7286E08D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1,000</w:t>
                  </w:r>
                </w:p>
              </w:tc>
            </w:tr>
            <w:tr w:rsidR="19606319" w:rsidRPr="00540296" w14:paraId="343A4088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3EAFAA37" w14:textId="5E3F71A5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A3D029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C721A8" w14:textId="6138FE33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Zajištění pracoviště, vypnutí demontovaných částí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9EA724B" w14:textId="0C649932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5A1E89" w14:textId="43BBC807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  <w:tr w:rsidR="19606319" w:rsidRPr="00540296" w14:paraId="6695F554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48A07F18" w14:textId="130B2E76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A3D030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9CD71B0" w14:textId="6D16397A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Práce na stávajícím zařízení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1A918E" w14:textId="35FE33C8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63B599" w14:textId="419E6260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1,000</w:t>
                  </w:r>
                </w:p>
              </w:tc>
            </w:tr>
            <w:tr w:rsidR="19606319" w:rsidRPr="00540296" w14:paraId="59245917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33913503" w14:textId="442AE1AF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A3D031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4CB479" w14:textId="25B6EAC6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Provizoria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F2F0A9" w14:textId="17E16522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EEC90B8" w14:textId="5DC8AEC1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  <w:tr w:rsidR="19606319" w:rsidRPr="00540296" w14:paraId="5569EDD6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56AAEA91" w14:textId="6F1C2F4A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A3D032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5FBDF38F" w14:textId="24B7076B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Spojkování optického kabelu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005AF1" w14:textId="04148CD8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04DFB3" w14:textId="4D81E3F9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  <w:tr w:rsidR="19606319" w:rsidRPr="00540296" w14:paraId="63B1C8E0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2DA4D5F3" w14:textId="7710BE56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A3D034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19F4569" w14:textId="0E8B26E0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Koordinace prací s ostatními profesemi stavby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6CA3917" w14:textId="064EBD38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3B55F0" w14:textId="30D0D8D3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  <w:tr w:rsidR="19606319" w:rsidRPr="00540296" w14:paraId="682A5CBE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2E2FB464" w14:textId="3FA5F0A8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A3D035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8ED17EE" w14:textId="749AFC2F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Součinnost provozovatele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3CD87A" w14:textId="19FBF417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7ABBB63" w14:textId="0762511C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  <w:highlight w:val="yellow"/>
                    </w:rPr>
                    <w:t>1,000</w:t>
                  </w:r>
                </w:p>
              </w:tc>
            </w:tr>
            <w:tr w:rsidR="19606319" w:rsidRPr="00540296" w14:paraId="57A4EFB8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43C432BD" w14:textId="786AA575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A3D036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2052F" w14:textId="5545A4D9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Ekologická likvidace demontovaného materiálu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A7F819" w14:textId="551620C6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0877C3" w14:textId="26D3B9D7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  <w:tr w:rsidR="19606319" w:rsidRPr="00540296" w14:paraId="2C497828" w14:textId="77777777" w:rsidTr="19606319">
              <w:trPr>
                <w:trHeight w:val="300"/>
              </w:trPr>
              <w:tc>
                <w:tcPr>
                  <w:tcW w:w="142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</w:tcPr>
                <w:p w14:paraId="5DE0F9BE" w14:textId="379BF45A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A3D037</w:t>
                  </w:r>
                </w:p>
              </w:tc>
              <w:tc>
                <w:tcPr>
                  <w:tcW w:w="4947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1523EFD" w14:textId="4806D734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Doprava, přesun materiálu</w:t>
                  </w:r>
                </w:p>
              </w:tc>
              <w:tc>
                <w:tcPr>
                  <w:tcW w:w="1003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EEBEE88" w14:textId="22332B2E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kpl</w:t>
                  </w:r>
                </w:p>
              </w:tc>
              <w:tc>
                <w:tcPr>
                  <w:tcW w:w="1565" w:type="dxa"/>
                  <w:tcBorders>
                    <w:top w:val="single" w:sz="8" w:space="0" w:color="969696"/>
                    <w:left w:val="single" w:sz="8" w:space="0" w:color="969696"/>
                    <w:bottom w:val="single" w:sz="8" w:space="0" w:color="969696"/>
                    <w:right w:val="single" w:sz="8" w:space="0" w:color="969696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7553DB6" w14:textId="07CCC014" w:rsidR="19606319" w:rsidRPr="00540296" w:rsidRDefault="19606319" w:rsidP="19606319">
                  <w:pPr>
                    <w:spacing w:before="120" w:after="120" w:line="257" w:lineRule="auto"/>
                    <w:jc w:val="both"/>
                  </w:pPr>
                  <w:r w:rsidRPr="00540296">
                    <w:rPr>
                      <w:rFonts w:eastAsia="Calibri" w:cs="Calibri"/>
                    </w:rPr>
                    <w:t>1,000</w:t>
                  </w:r>
                </w:p>
              </w:tc>
            </w:tr>
          </w:tbl>
          <w:p w14:paraId="1AA2916F" w14:textId="326F3382" w:rsidR="000C2E2F" w:rsidRPr="00540296" w:rsidRDefault="06F4C97C" w:rsidP="19606319">
            <w:pPr>
              <w:pStyle w:val="Odstavecseseznamem"/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>Uchazeči není jasné, co je zahrnuto pod položkami definovanými pouze ve výkazu výměr vždy jako 1 komplet bez specifikovaného rozsahu činností např:</w:t>
            </w:r>
          </w:p>
          <w:p w14:paraId="0FA964F7" w14:textId="51A1728C" w:rsidR="000C2E2F" w:rsidRPr="00540296" w:rsidRDefault="06F4C97C" w:rsidP="003D2A49">
            <w:pPr>
              <w:pStyle w:val="Odstavecseseznamem"/>
              <w:numPr>
                <w:ilvl w:val="0"/>
                <w:numId w:val="13"/>
              </w:numPr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>„</w:t>
            </w:r>
            <w:r w:rsidRPr="00540296">
              <w:rPr>
                <w:rFonts w:eastAsia="Calibri" w:cs="Calibri"/>
                <w:i/>
                <w:iCs/>
              </w:rPr>
              <w:t>Ostatní demontážní práce výše neuvedené</w:t>
            </w:r>
            <w:r w:rsidRPr="00540296">
              <w:rPr>
                <w:rFonts w:eastAsia="Calibri" w:cs="Calibri"/>
              </w:rPr>
              <w:t>“ jak má uchazeč tyto neznámé práce ocenit? Bylo by možné tuto položku z tabulky odstranit?</w:t>
            </w:r>
          </w:p>
          <w:p w14:paraId="7D27FFAA" w14:textId="5423C0D8" w:rsidR="000C2E2F" w:rsidRPr="00540296" w:rsidRDefault="06F4C97C" w:rsidP="003D2A49">
            <w:pPr>
              <w:pStyle w:val="Odstavecseseznamem"/>
              <w:numPr>
                <w:ilvl w:val="0"/>
                <w:numId w:val="13"/>
              </w:numPr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>„</w:t>
            </w:r>
            <w:r w:rsidRPr="00540296">
              <w:rPr>
                <w:rFonts w:eastAsia="Calibri" w:cs="Calibri"/>
                <w:i/>
                <w:iCs/>
              </w:rPr>
              <w:t>Práce na stávajícím zařízení</w:t>
            </w:r>
            <w:r w:rsidRPr="00540296">
              <w:rPr>
                <w:rFonts w:eastAsia="Calibri" w:cs="Calibri"/>
              </w:rPr>
              <w:t xml:space="preserve">“ uchazeč předpokládá, že pro demontáž obdrží zařízení již odstavené, tedy mimo provoz. Jaké práce na stávajícím zařízení jsou zde myšlené? </w:t>
            </w:r>
          </w:p>
          <w:p w14:paraId="14D46323" w14:textId="5DAF4EDE" w:rsidR="000C2E2F" w:rsidRPr="00540296" w:rsidRDefault="06F4C97C" w:rsidP="009465E1">
            <w:pPr>
              <w:pStyle w:val="Odstavecseseznamem"/>
              <w:spacing w:before="120" w:after="120" w:line="257" w:lineRule="auto"/>
              <w:ind w:left="1440"/>
              <w:jc w:val="both"/>
            </w:pPr>
            <w:r w:rsidRPr="00540296">
              <w:rPr>
                <w:rFonts w:eastAsia="Calibri" w:cs="Calibri"/>
              </w:rPr>
              <w:t>„</w:t>
            </w:r>
            <w:r w:rsidRPr="00540296">
              <w:rPr>
                <w:rFonts w:eastAsia="Calibri" w:cs="Calibri"/>
                <w:i/>
                <w:iCs/>
              </w:rPr>
              <w:t>Součinnost provozovatele</w:t>
            </w:r>
            <w:r w:rsidRPr="00540296">
              <w:rPr>
                <w:rFonts w:eastAsia="Calibri" w:cs="Calibri"/>
              </w:rPr>
              <w:t>“ uchazeč opět předpokládá, že zařízení obdrží pro demontáž již odstavené, tedy mimo provoz.</w:t>
            </w:r>
          </w:p>
          <w:p w14:paraId="7E95A147" w14:textId="3A13BD82" w:rsidR="000C2E2F" w:rsidRDefault="06F4C97C" w:rsidP="19606319">
            <w:pPr>
              <w:pStyle w:val="Odstavecseseznamem"/>
              <w:spacing w:before="120" w:after="120" w:line="257" w:lineRule="auto"/>
              <w:jc w:val="both"/>
            </w:pPr>
            <w:r w:rsidRPr="00540296">
              <w:rPr>
                <w:rFonts w:eastAsia="Calibri" w:cs="Calibri"/>
              </w:rPr>
              <w:t>Vyjasní zadavatel, jaké činnosti provozovatele jsou zde myšlené a jak</w:t>
            </w:r>
            <w:r w:rsidRPr="19606319">
              <w:rPr>
                <w:rFonts w:ascii="Aptos" w:eastAsia="Calibri" w:hAnsi="Aptos" w:cs="Calibri"/>
              </w:rPr>
              <w:t xml:space="preserve"> je má uchazeč ocenit?</w:t>
            </w:r>
          </w:p>
          <w:p w14:paraId="2034BBBD" w14:textId="11F6A2DB" w:rsidR="000C2E2F" w:rsidRPr="008A0424" w:rsidRDefault="000C2E2F" w:rsidP="00540296"/>
        </w:tc>
      </w:tr>
      <w:tr w:rsidR="00A92B70" w14:paraId="34011E26" w14:textId="77777777" w:rsidTr="008D2B21">
        <w:trPr>
          <w:trHeight w:val="244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D2B21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24C26604" w:rsidR="00465C97" w:rsidRPr="00465C97" w:rsidRDefault="00540296" w:rsidP="00465C97">
            <w:pPr>
              <w:jc w:val="center"/>
              <w:rPr>
                <w:b/>
                <w:bCs/>
              </w:rPr>
            </w:pPr>
            <w:r w:rsidRPr="00540296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8D2B21">
        <w:trPr>
          <w:trHeight w:val="706"/>
        </w:trPr>
        <w:tc>
          <w:tcPr>
            <w:tcW w:w="9209" w:type="dxa"/>
            <w:gridSpan w:val="2"/>
          </w:tcPr>
          <w:p w14:paraId="0D82C206" w14:textId="1FFD5201" w:rsidR="00465C97" w:rsidRDefault="00E31B7E" w:rsidP="00E31B7E">
            <w:pPr>
              <w:pStyle w:val="Odstavecseseznamem"/>
              <w:numPr>
                <w:ilvl w:val="0"/>
                <w:numId w:val="14"/>
              </w:numPr>
              <w:spacing w:line="0" w:lineRule="atLeast"/>
            </w:pPr>
            <w:r w:rsidRPr="00E31B7E">
              <w:t>Jedná se o práce drobného rozsahu, které jsou běžně vykazovány v</w:t>
            </w:r>
            <w:r w:rsidRPr="00E31B7E">
              <w:rPr>
                <w:rFonts w:ascii="Arial" w:hAnsi="Arial" w:cs="Arial"/>
              </w:rPr>
              <w:t> </w:t>
            </w:r>
            <w:r w:rsidRPr="00E31B7E">
              <w:t>jedn</w:t>
            </w:r>
            <w:r w:rsidRPr="00E31B7E">
              <w:rPr>
                <w:rFonts w:ascii="Aptos" w:hAnsi="Aptos" w:cs="Aptos"/>
              </w:rPr>
              <w:t>é</w:t>
            </w:r>
            <w:r w:rsidRPr="00E31B7E">
              <w:t xml:space="preserve"> souhrnn</w:t>
            </w:r>
            <w:r w:rsidRPr="00E31B7E">
              <w:rPr>
                <w:rFonts w:ascii="Aptos" w:hAnsi="Aptos" w:cs="Aptos"/>
              </w:rPr>
              <w:t>é</w:t>
            </w:r>
            <w:r w:rsidRPr="00E31B7E">
              <w:t xml:space="preserve"> polo</w:t>
            </w:r>
            <w:r w:rsidRPr="00E31B7E">
              <w:rPr>
                <w:rFonts w:ascii="Aptos" w:hAnsi="Aptos" w:cs="Aptos"/>
              </w:rPr>
              <w:t>ž</w:t>
            </w:r>
            <w:r w:rsidRPr="00E31B7E">
              <w:t xml:space="preserve">ce. </w:t>
            </w:r>
          </w:p>
          <w:p w14:paraId="2D4009F2" w14:textId="77777777" w:rsidR="00732002" w:rsidRDefault="00732002" w:rsidP="00732002">
            <w:pPr>
              <w:pStyle w:val="Odstavecseseznamem"/>
              <w:spacing w:line="0" w:lineRule="atLeast"/>
            </w:pPr>
          </w:p>
          <w:p w14:paraId="6BBC3579" w14:textId="0CCA4D54" w:rsidR="00480141" w:rsidRPr="00480141" w:rsidRDefault="00480141" w:rsidP="00480141">
            <w:pPr>
              <w:pStyle w:val="Odstavecseseznamem"/>
              <w:numPr>
                <w:ilvl w:val="0"/>
                <w:numId w:val="14"/>
              </w:numPr>
              <w:spacing w:line="0" w:lineRule="atLeast"/>
            </w:pPr>
            <w:r w:rsidRPr="00480141">
              <w:t>Základní premisa dotazu je mylná, uchazeč dostane zařízení plně funkční tj. pod</w:t>
            </w:r>
            <w:r w:rsidR="00732002">
              <w:t xml:space="preserve"> </w:t>
            </w:r>
            <w:r w:rsidRPr="00480141">
              <w:t>napětím a bude jeho úkolem řádné odstavení, zajištění pracoviště a vlastní elektro a MaR demontáže to vždy v</w:t>
            </w:r>
            <w:r w:rsidRPr="00480141">
              <w:rPr>
                <w:rFonts w:ascii="Arial" w:hAnsi="Arial" w:cs="Arial"/>
              </w:rPr>
              <w:t> </w:t>
            </w:r>
            <w:r w:rsidRPr="00480141">
              <w:rPr>
                <w:rFonts w:ascii="Aptos" w:hAnsi="Aptos" w:cs="Aptos"/>
              </w:rPr>
              <w:t>ú</w:t>
            </w:r>
            <w:r w:rsidRPr="00480141">
              <w:t>zk</w:t>
            </w:r>
            <w:r w:rsidRPr="00480141">
              <w:rPr>
                <w:rFonts w:ascii="Aptos" w:hAnsi="Aptos" w:cs="Aptos"/>
              </w:rPr>
              <w:t>é</w:t>
            </w:r>
            <w:r w:rsidRPr="00480141">
              <w:t xml:space="preserve"> koordinaci s</w:t>
            </w:r>
            <w:r w:rsidRPr="00480141">
              <w:rPr>
                <w:rFonts w:ascii="Arial" w:hAnsi="Arial" w:cs="Arial"/>
              </w:rPr>
              <w:t> </w:t>
            </w:r>
            <w:r w:rsidRPr="00480141">
              <w:t>technologem resp. s</w:t>
            </w:r>
            <w:r w:rsidRPr="00480141">
              <w:rPr>
                <w:rFonts w:ascii="Arial" w:hAnsi="Arial" w:cs="Arial"/>
              </w:rPr>
              <w:t> </w:t>
            </w:r>
            <w:r w:rsidRPr="00480141">
              <w:t>technologick</w:t>
            </w:r>
            <w:r w:rsidRPr="00480141">
              <w:rPr>
                <w:rFonts w:ascii="Aptos" w:hAnsi="Aptos" w:cs="Aptos"/>
              </w:rPr>
              <w:t>ý</w:t>
            </w:r>
            <w:r w:rsidRPr="00480141">
              <w:t>mi demont</w:t>
            </w:r>
            <w:r w:rsidRPr="00480141">
              <w:rPr>
                <w:rFonts w:ascii="Aptos" w:hAnsi="Aptos" w:cs="Aptos"/>
              </w:rPr>
              <w:t>áž</w:t>
            </w:r>
            <w:r w:rsidRPr="00480141">
              <w:t>emi.</w:t>
            </w:r>
          </w:p>
          <w:p w14:paraId="2E5C41D1" w14:textId="77777777" w:rsidR="00480141" w:rsidRPr="00480141" w:rsidRDefault="00480141" w:rsidP="008E2F7B">
            <w:pPr>
              <w:pStyle w:val="Odstavecseseznamem"/>
              <w:spacing w:line="0" w:lineRule="atLeast"/>
            </w:pPr>
            <w:r w:rsidRPr="00480141">
              <w:t>Uvedené položky v</w:t>
            </w:r>
            <w:r w:rsidRPr="00480141">
              <w:rPr>
                <w:rFonts w:ascii="Arial" w:hAnsi="Arial" w:cs="Arial"/>
              </w:rPr>
              <w:t> </w:t>
            </w:r>
            <w:r w:rsidRPr="00480141">
              <w:t>dotazu klasifikuj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uveden</w:t>
            </w:r>
            <w:r w:rsidRPr="00480141">
              <w:rPr>
                <w:rFonts w:ascii="Aptos" w:hAnsi="Aptos" w:cs="Aptos"/>
              </w:rPr>
              <w:t>é</w:t>
            </w:r>
            <w:r w:rsidRPr="00480141">
              <w:t xml:space="preserve"> </w:t>
            </w:r>
            <w:r w:rsidRPr="00480141">
              <w:rPr>
                <w:rFonts w:ascii="Aptos" w:hAnsi="Aptos" w:cs="Aptos"/>
              </w:rPr>
              <w:t>č</w:t>
            </w:r>
            <w:r w:rsidRPr="00480141">
              <w:t>innosti, tj. postupn</w:t>
            </w:r>
            <w:r w:rsidRPr="00480141">
              <w:rPr>
                <w:rFonts w:ascii="Aptos" w:hAnsi="Aptos" w:cs="Aptos"/>
              </w:rPr>
              <w:t>é</w:t>
            </w:r>
            <w:r w:rsidRPr="00480141">
              <w:t xml:space="preserve"> demont</w:t>
            </w:r>
            <w:r w:rsidRPr="00480141">
              <w:rPr>
                <w:rFonts w:ascii="Aptos" w:hAnsi="Aptos" w:cs="Aptos"/>
              </w:rPr>
              <w:t>áž</w:t>
            </w:r>
            <w:r w:rsidRPr="00480141">
              <w:t>e elektro za</w:t>
            </w:r>
            <w:r w:rsidRPr="00480141">
              <w:rPr>
                <w:rFonts w:ascii="Aptos" w:hAnsi="Aptos" w:cs="Aptos"/>
              </w:rPr>
              <w:t>ří</w:t>
            </w:r>
            <w:r w:rsidRPr="00480141">
              <w:t>zen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v</w:t>
            </w:r>
            <w:r w:rsidRPr="00480141">
              <w:rPr>
                <w:rFonts w:ascii="Arial" w:hAnsi="Arial" w:cs="Arial"/>
              </w:rPr>
              <w:t> </w:t>
            </w:r>
            <w:r w:rsidRPr="00480141">
              <w:t>objektech p</w:t>
            </w:r>
            <w:r w:rsidRPr="00480141">
              <w:rPr>
                <w:rFonts w:ascii="Aptos" w:hAnsi="Aptos" w:cs="Aptos"/>
              </w:rPr>
              <w:t>ř</w:t>
            </w:r>
            <w:r w:rsidRPr="00480141">
              <w:t>i zachov</w:t>
            </w:r>
            <w:r w:rsidRPr="00480141">
              <w:rPr>
                <w:rFonts w:ascii="Aptos" w:hAnsi="Aptos" w:cs="Aptos"/>
              </w:rPr>
              <w:t>á</w:t>
            </w:r>
            <w:r w:rsidRPr="00480141">
              <w:t>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funk</w:t>
            </w:r>
            <w:r w:rsidRPr="00480141">
              <w:rPr>
                <w:rFonts w:ascii="Aptos" w:hAnsi="Aptos" w:cs="Aptos"/>
              </w:rPr>
              <w:t>č</w:t>
            </w:r>
            <w:r w:rsidRPr="00480141">
              <w:t>nosti nap</w:t>
            </w:r>
            <w:r w:rsidRPr="00480141">
              <w:rPr>
                <w:rFonts w:ascii="Aptos" w:hAnsi="Aptos" w:cs="Aptos"/>
              </w:rPr>
              <w:t>ř</w:t>
            </w:r>
            <w:r w:rsidRPr="00480141">
              <w:t>. st</w:t>
            </w:r>
            <w:r w:rsidRPr="00480141">
              <w:rPr>
                <w:rFonts w:ascii="Aptos" w:hAnsi="Aptos" w:cs="Aptos"/>
              </w:rPr>
              <w:t>á</w:t>
            </w:r>
            <w:r w:rsidRPr="00480141">
              <w:t>vaj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>c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>ho osv</w:t>
            </w:r>
            <w:r w:rsidRPr="00480141">
              <w:rPr>
                <w:rFonts w:ascii="Aptos" w:hAnsi="Aptos" w:cs="Aptos"/>
              </w:rPr>
              <w:t>ě</w:t>
            </w:r>
            <w:r w:rsidRPr="00480141">
              <w:t>tlen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a manipula</w:t>
            </w:r>
            <w:r w:rsidRPr="00480141">
              <w:rPr>
                <w:rFonts w:ascii="Aptos" w:hAnsi="Aptos" w:cs="Aptos"/>
              </w:rPr>
              <w:t>č</w:t>
            </w:r>
            <w:r w:rsidRPr="00480141">
              <w:t>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techniky (je</w:t>
            </w:r>
            <w:r w:rsidRPr="00480141">
              <w:rPr>
                <w:rFonts w:ascii="Aptos" w:hAnsi="Aptos" w:cs="Aptos"/>
              </w:rPr>
              <w:t>řá</w:t>
            </w:r>
            <w:r w:rsidRPr="00480141">
              <w:t>by apod.) po nezbytn</w:t>
            </w:r>
            <w:r w:rsidRPr="00480141">
              <w:rPr>
                <w:rFonts w:ascii="Aptos" w:hAnsi="Aptos" w:cs="Aptos"/>
              </w:rPr>
              <w:t>ě</w:t>
            </w:r>
            <w:r w:rsidRPr="00480141">
              <w:t xml:space="preserve"> nutnou dobu technologick</w:t>
            </w:r>
            <w:r w:rsidRPr="00480141">
              <w:rPr>
                <w:rFonts w:ascii="Aptos" w:hAnsi="Aptos" w:cs="Aptos"/>
              </w:rPr>
              <w:t>ý</w:t>
            </w:r>
            <w:r w:rsidRPr="00480141">
              <w:t>ch demont</w:t>
            </w:r>
            <w:r w:rsidRPr="00480141">
              <w:rPr>
                <w:rFonts w:ascii="Aptos" w:hAnsi="Aptos" w:cs="Aptos"/>
              </w:rPr>
              <w:t>áží</w:t>
            </w:r>
            <w:r w:rsidRPr="00480141">
              <w:t>. Sou</w:t>
            </w:r>
            <w:r w:rsidRPr="00480141">
              <w:rPr>
                <w:rFonts w:ascii="Aptos" w:hAnsi="Aptos" w:cs="Aptos"/>
              </w:rPr>
              <w:t>č</w:t>
            </w:r>
            <w:r w:rsidRPr="00480141">
              <w:t>innost provozovatele bude nezbytn</w:t>
            </w:r>
            <w:r w:rsidRPr="00480141">
              <w:rPr>
                <w:rFonts w:ascii="Aptos" w:hAnsi="Aptos" w:cs="Aptos"/>
              </w:rPr>
              <w:t>á</w:t>
            </w:r>
            <w:r w:rsidRPr="00480141">
              <w:t xml:space="preserve"> nap</w:t>
            </w:r>
            <w:r w:rsidRPr="00480141">
              <w:rPr>
                <w:rFonts w:ascii="Aptos" w:hAnsi="Aptos" w:cs="Aptos"/>
              </w:rPr>
              <w:t>ř</w:t>
            </w:r>
            <w:r w:rsidRPr="00480141">
              <w:t>. p</w:t>
            </w:r>
            <w:r w:rsidRPr="00480141">
              <w:rPr>
                <w:rFonts w:ascii="Aptos" w:hAnsi="Aptos" w:cs="Aptos"/>
              </w:rPr>
              <w:t>ř</w:t>
            </w:r>
            <w:r w:rsidRPr="00480141">
              <w:t xml:space="preserve">i </w:t>
            </w:r>
            <w:r w:rsidRPr="00480141">
              <w:rPr>
                <w:rFonts w:ascii="Aptos" w:hAnsi="Aptos" w:cs="Aptos"/>
              </w:rPr>
              <w:t>řá</w:t>
            </w:r>
            <w:r w:rsidRPr="00480141">
              <w:t>dn</w:t>
            </w:r>
            <w:r w:rsidRPr="00480141">
              <w:rPr>
                <w:rFonts w:ascii="Aptos" w:hAnsi="Aptos" w:cs="Aptos"/>
              </w:rPr>
              <w:t>é</w:t>
            </w:r>
            <w:r w:rsidRPr="00480141">
              <w:t>m odstavov</w:t>
            </w:r>
            <w:r w:rsidRPr="00480141">
              <w:rPr>
                <w:rFonts w:ascii="Aptos" w:hAnsi="Aptos" w:cs="Aptos"/>
              </w:rPr>
              <w:t>á</w:t>
            </w:r>
            <w:r w:rsidRPr="00480141">
              <w:t>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</w:t>
            </w:r>
            <w:r w:rsidRPr="00480141">
              <w:rPr>
                <w:rFonts w:ascii="Aptos" w:hAnsi="Aptos" w:cs="Aptos"/>
              </w:rPr>
              <w:t>Ř</w:t>
            </w:r>
            <w:r w:rsidRPr="00480141">
              <w:t xml:space="preserve">S a vizualizace tj. </w:t>
            </w:r>
            <w:r w:rsidRPr="00480141">
              <w:rPr>
                <w:rFonts w:ascii="Aptos" w:hAnsi="Aptos" w:cs="Aptos"/>
              </w:rPr>
              <w:t>čá</w:t>
            </w:r>
            <w:r w:rsidRPr="00480141">
              <w:t xml:space="preserve">st </w:t>
            </w:r>
            <w:r w:rsidRPr="00480141">
              <w:rPr>
                <w:rFonts w:ascii="Aptos" w:hAnsi="Aptos" w:cs="Aptos"/>
              </w:rPr>
              <w:t>ří</w:t>
            </w:r>
            <w:r w:rsidRPr="00480141">
              <w:t>dic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>ho syst</w:t>
            </w:r>
            <w:r w:rsidRPr="00480141">
              <w:rPr>
                <w:rFonts w:ascii="Aptos" w:hAnsi="Aptos" w:cs="Aptos"/>
              </w:rPr>
              <w:t>é</w:t>
            </w:r>
            <w:r w:rsidRPr="00480141">
              <w:t>mu mus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z</w:t>
            </w:r>
            <w:r w:rsidRPr="00480141">
              <w:rPr>
                <w:rFonts w:ascii="Aptos" w:hAnsi="Aptos" w:cs="Aptos"/>
              </w:rPr>
              <w:t>ů</w:t>
            </w:r>
            <w:r w:rsidRPr="00480141">
              <w:t>stat funk</w:t>
            </w:r>
            <w:r w:rsidRPr="00480141">
              <w:rPr>
                <w:rFonts w:ascii="Aptos" w:hAnsi="Aptos" w:cs="Aptos"/>
              </w:rPr>
              <w:t>č</w:t>
            </w:r>
            <w:r w:rsidRPr="00480141">
              <w:t>n</w:t>
            </w:r>
            <w:r w:rsidRPr="00480141">
              <w:rPr>
                <w:rFonts w:ascii="Aptos" w:hAnsi="Aptos" w:cs="Aptos"/>
              </w:rPr>
              <w:t>í</w:t>
            </w:r>
            <w:r w:rsidRPr="00480141">
              <w:t xml:space="preserve"> i po demont</w:t>
            </w:r>
            <w:r w:rsidRPr="00480141">
              <w:rPr>
                <w:rFonts w:ascii="Aptos" w:hAnsi="Aptos" w:cs="Aptos"/>
              </w:rPr>
              <w:t>áží</w:t>
            </w:r>
            <w:r w:rsidRPr="00480141">
              <w:t xml:space="preserve"> technologie SVL. </w:t>
            </w:r>
          </w:p>
          <w:p w14:paraId="2D2F09D9" w14:textId="77777777" w:rsidR="00480141" w:rsidRDefault="00480141" w:rsidP="00A6378B">
            <w:pPr>
              <w:pStyle w:val="Odstavecseseznamem"/>
              <w:spacing w:line="0" w:lineRule="atLeast"/>
            </w:pPr>
          </w:p>
          <w:p w14:paraId="0B7FD0DC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Viz popis v</w:t>
            </w:r>
            <w:r w:rsidRPr="00A6378B">
              <w:rPr>
                <w:rFonts w:ascii="Arial" w:hAnsi="Arial" w:cs="Arial"/>
              </w:rPr>
              <w:t> </w:t>
            </w:r>
            <w:r w:rsidRPr="00A6378B">
              <w:t>TZ: </w:t>
            </w:r>
          </w:p>
          <w:p w14:paraId="417C2ECF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TZ bod 2.3 – a, c </w:t>
            </w:r>
          </w:p>
          <w:p w14:paraId="541C9F74" w14:textId="77777777" w:rsidR="00A6378B" w:rsidRPr="00A6378B" w:rsidRDefault="00A6378B" w:rsidP="00A6378B">
            <w:pPr>
              <w:pStyle w:val="Odstavecseseznamem"/>
              <w:numPr>
                <w:ilvl w:val="0"/>
                <w:numId w:val="15"/>
              </w:numPr>
              <w:spacing w:line="0" w:lineRule="atLeast"/>
            </w:pPr>
            <w:r w:rsidRPr="00A6378B">
              <w:t>Omezení prostorové – vzhledem ke skutečnosti, že část demontáží zařízení může probíhat při částečném provozu technologie v ostatních objektech, vzniká prostorové omezení </w:t>
            </w:r>
          </w:p>
          <w:p w14:paraId="691E0054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c)</w:t>
            </w:r>
            <w:r w:rsidRPr="00A6378B">
              <w:rPr>
                <w:rFonts w:ascii="Arial" w:hAnsi="Arial" w:cs="Arial"/>
              </w:rPr>
              <w:t> </w:t>
            </w:r>
            <w:r w:rsidRPr="00A6378B">
              <w:t xml:space="preserve"> Omezen</w:t>
            </w:r>
            <w:r w:rsidRPr="00A6378B">
              <w:rPr>
                <w:rFonts w:ascii="Aptos" w:hAnsi="Aptos" w:cs="Aptos"/>
              </w:rPr>
              <w:t>í</w:t>
            </w:r>
            <w:r w:rsidRPr="00A6378B">
              <w:t xml:space="preserve"> provozn</w:t>
            </w:r>
            <w:r w:rsidRPr="00A6378B">
              <w:rPr>
                <w:rFonts w:ascii="Aptos" w:hAnsi="Aptos" w:cs="Aptos"/>
              </w:rPr>
              <w:t>í</w:t>
            </w:r>
            <w:r w:rsidRPr="00A6378B">
              <w:t xml:space="preserve"> </w:t>
            </w:r>
            <w:r w:rsidRPr="00A6378B">
              <w:rPr>
                <w:rFonts w:ascii="Aptos" w:hAnsi="Aptos" w:cs="Aptos"/>
              </w:rPr>
              <w:t>–</w:t>
            </w:r>
            <w:r w:rsidRPr="00A6378B">
              <w:t xml:space="preserve"> d</w:t>
            </w:r>
            <w:r w:rsidRPr="00A6378B">
              <w:rPr>
                <w:rFonts w:ascii="Aptos" w:hAnsi="Aptos" w:cs="Aptos"/>
              </w:rPr>
              <w:t>á</w:t>
            </w:r>
            <w:r w:rsidRPr="00A6378B">
              <w:t>no postupn</w:t>
            </w:r>
            <w:r w:rsidRPr="00A6378B">
              <w:rPr>
                <w:rFonts w:ascii="Aptos" w:hAnsi="Aptos" w:cs="Aptos"/>
              </w:rPr>
              <w:t>ý</w:t>
            </w:r>
            <w:r w:rsidRPr="00A6378B">
              <w:t>m odstavov</w:t>
            </w:r>
            <w:r w:rsidRPr="00A6378B">
              <w:rPr>
                <w:rFonts w:ascii="Aptos" w:hAnsi="Aptos" w:cs="Aptos"/>
              </w:rPr>
              <w:t>á</w:t>
            </w:r>
            <w:r w:rsidRPr="00A6378B">
              <w:t>n</w:t>
            </w:r>
            <w:r w:rsidRPr="00A6378B">
              <w:rPr>
                <w:rFonts w:ascii="Aptos" w:hAnsi="Aptos" w:cs="Aptos"/>
              </w:rPr>
              <w:t>í</w:t>
            </w:r>
            <w:r w:rsidRPr="00A6378B">
              <w:t>m objekt</w:t>
            </w:r>
            <w:r w:rsidRPr="00A6378B">
              <w:rPr>
                <w:rFonts w:ascii="Aptos" w:hAnsi="Aptos" w:cs="Aptos"/>
              </w:rPr>
              <w:t>ů</w:t>
            </w:r>
            <w:r w:rsidRPr="00A6378B">
              <w:t xml:space="preserve"> SVL </w:t>
            </w:r>
          </w:p>
          <w:p w14:paraId="3EFF7287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TZ bod 4.1 </w:t>
            </w:r>
          </w:p>
          <w:p w14:paraId="68D980FA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K demontážím jednotlivých zařízení bude přistupováno individuálně a dle předem schváleného plánu etapizací. </w:t>
            </w:r>
          </w:p>
          <w:p w14:paraId="7B35F226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Veškeré práce budou navzájem koordinovány, aby nedocházelo k časovým prodlevám. // bude se demontovat hned jak to půjde </w:t>
            </w:r>
          </w:p>
          <w:p w14:paraId="5F979B42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t>TZ bod 4.4 </w:t>
            </w:r>
          </w:p>
          <w:p w14:paraId="562C0BC4" w14:textId="77777777" w:rsidR="00A6378B" w:rsidRPr="00A6378B" w:rsidRDefault="00A6378B" w:rsidP="00A6378B">
            <w:pPr>
              <w:pStyle w:val="Odstavecseseznamem"/>
              <w:spacing w:line="0" w:lineRule="atLeast"/>
            </w:pPr>
            <w:r w:rsidRPr="00A6378B">
              <w:rPr>
                <w:rFonts w:ascii="Arial" w:hAnsi="Arial" w:cs="Arial"/>
              </w:rPr>
              <w:t>           </w:t>
            </w:r>
            <w:r w:rsidRPr="00A6378B">
              <w:t xml:space="preserve"> Čerpání vody - Odstavení SVL je rozděleno do dílčích fází podle postupného snižování hydraulického zatížení. </w:t>
            </w:r>
          </w:p>
          <w:p w14:paraId="25849A04" w14:textId="386EB3A0" w:rsidR="00A6378B" w:rsidRPr="00DD398C" w:rsidRDefault="00A6378B" w:rsidP="00A6378B">
            <w:pPr>
              <w:pStyle w:val="Odstavecseseznamem"/>
              <w:spacing w:line="0" w:lineRule="atLeast"/>
            </w:pPr>
          </w:p>
        </w:tc>
      </w:tr>
      <w:tr w:rsidR="00465C97" w14:paraId="2972FBC8" w14:textId="77777777" w:rsidTr="008D2B21">
        <w:trPr>
          <w:trHeight w:val="567"/>
        </w:trPr>
        <w:tc>
          <w:tcPr>
            <w:tcW w:w="3942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lastRenderedPageBreak/>
              <w:t>Revize Projektové dokumentace</w:t>
            </w:r>
          </w:p>
        </w:tc>
        <w:tc>
          <w:tcPr>
            <w:tcW w:w="5267" w:type="dxa"/>
            <w:vAlign w:val="center"/>
          </w:tcPr>
          <w:p w14:paraId="4ED701F5" w14:textId="6655299A" w:rsidR="00465C97" w:rsidRPr="00A92B70" w:rsidRDefault="009465E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8D2B21">
        <w:trPr>
          <w:trHeight w:val="567"/>
        </w:trPr>
        <w:tc>
          <w:tcPr>
            <w:tcW w:w="3942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267" w:type="dxa"/>
            <w:tcBorders>
              <w:bottom w:val="single" w:sz="4" w:space="0" w:color="auto"/>
            </w:tcBorders>
            <w:vAlign w:val="center"/>
          </w:tcPr>
          <w:p w14:paraId="752A49C1" w14:textId="1C17F43A" w:rsidR="00465C97" w:rsidRPr="00A92B70" w:rsidRDefault="009465E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4A845" w14:textId="77777777" w:rsidR="00993335" w:rsidRDefault="00993335" w:rsidP="00A92B70">
      <w:pPr>
        <w:spacing w:after="0" w:line="240" w:lineRule="auto"/>
      </w:pPr>
      <w:r>
        <w:separator/>
      </w:r>
    </w:p>
  </w:endnote>
  <w:endnote w:type="continuationSeparator" w:id="0">
    <w:p w14:paraId="41D8DE52" w14:textId="77777777" w:rsidR="00993335" w:rsidRDefault="00993335" w:rsidP="00A92B70">
      <w:pPr>
        <w:spacing w:after="0" w:line="240" w:lineRule="auto"/>
      </w:pPr>
      <w:r>
        <w:continuationSeparator/>
      </w:r>
    </w:p>
  </w:endnote>
  <w:endnote w:type="continuationNotice" w:id="1">
    <w:p w14:paraId="20966C4D" w14:textId="77777777" w:rsidR="00993335" w:rsidRDefault="009933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8E4B3" w14:textId="77777777" w:rsidR="00993335" w:rsidRDefault="00993335" w:rsidP="00A92B70">
      <w:pPr>
        <w:spacing w:after="0" w:line="240" w:lineRule="auto"/>
      </w:pPr>
      <w:r>
        <w:separator/>
      </w:r>
    </w:p>
  </w:footnote>
  <w:footnote w:type="continuationSeparator" w:id="0">
    <w:p w14:paraId="0FC7828E" w14:textId="77777777" w:rsidR="00993335" w:rsidRDefault="00993335" w:rsidP="00A92B70">
      <w:pPr>
        <w:spacing w:after="0" w:line="240" w:lineRule="auto"/>
      </w:pPr>
      <w:r>
        <w:continuationSeparator/>
      </w:r>
    </w:p>
  </w:footnote>
  <w:footnote w:type="continuationNotice" w:id="1">
    <w:p w14:paraId="2CB60A97" w14:textId="77777777" w:rsidR="00993335" w:rsidRDefault="009933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F5137A5"/>
    <w:multiLevelType w:val="hybridMultilevel"/>
    <w:tmpl w:val="562080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D92AB6"/>
    <w:multiLevelType w:val="hybridMultilevel"/>
    <w:tmpl w:val="9A203F50"/>
    <w:lvl w:ilvl="0" w:tplc="36D2690C">
      <w:start w:val="1"/>
      <w:numFmt w:val="decimal"/>
      <w:lvlText w:val="%1."/>
      <w:lvlJc w:val="left"/>
      <w:pPr>
        <w:ind w:left="720" w:hanging="360"/>
      </w:pPr>
    </w:lvl>
    <w:lvl w:ilvl="1" w:tplc="48A8E484">
      <w:start w:val="1"/>
      <w:numFmt w:val="lowerLetter"/>
      <w:lvlText w:val="%2."/>
      <w:lvlJc w:val="left"/>
      <w:pPr>
        <w:ind w:left="1440" w:hanging="360"/>
      </w:pPr>
    </w:lvl>
    <w:lvl w:ilvl="2" w:tplc="563C9A52">
      <w:start w:val="1"/>
      <w:numFmt w:val="lowerRoman"/>
      <w:lvlText w:val="%3."/>
      <w:lvlJc w:val="right"/>
      <w:pPr>
        <w:ind w:left="2160" w:hanging="180"/>
      </w:pPr>
    </w:lvl>
    <w:lvl w:ilvl="3" w:tplc="CF0A6C80">
      <w:start w:val="1"/>
      <w:numFmt w:val="decimal"/>
      <w:lvlText w:val="%4."/>
      <w:lvlJc w:val="left"/>
      <w:pPr>
        <w:ind w:left="2880" w:hanging="360"/>
      </w:pPr>
    </w:lvl>
    <w:lvl w:ilvl="4" w:tplc="D8B88ADA">
      <w:start w:val="1"/>
      <w:numFmt w:val="lowerLetter"/>
      <w:lvlText w:val="%5."/>
      <w:lvlJc w:val="left"/>
      <w:pPr>
        <w:ind w:left="3600" w:hanging="360"/>
      </w:pPr>
    </w:lvl>
    <w:lvl w:ilvl="5" w:tplc="50148FCA">
      <w:start w:val="1"/>
      <w:numFmt w:val="lowerRoman"/>
      <w:lvlText w:val="%6."/>
      <w:lvlJc w:val="right"/>
      <w:pPr>
        <w:ind w:left="4320" w:hanging="180"/>
      </w:pPr>
    </w:lvl>
    <w:lvl w:ilvl="6" w:tplc="D68EB3C4">
      <w:start w:val="1"/>
      <w:numFmt w:val="decimal"/>
      <w:lvlText w:val="%7."/>
      <w:lvlJc w:val="left"/>
      <w:pPr>
        <w:ind w:left="5040" w:hanging="360"/>
      </w:pPr>
    </w:lvl>
    <w:lvl w:ilvl="7" w:tplc="F6AAA028">
      <w:start w:val="1"/>
      <w:numFmt w:val="lowerLetter"/>
      <w:lvlText w:val="%8."/>
      <w:lvlJc w:val="left"/>
      <w:pPr>
        <w:ind w:left="5760" w:hanging="360"/>
      </w:pPr>
    </w:lvl>
    <w:lvl w:ilvl="8" w:tplc="C4A0E9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0675B"/>
    <w:multiLevelType w:val="hybridMultilevel"/>
    <w:tmpl w:val="A10493E0"/>
    <w:lvl w:ilvl="0" w:tplc="8EB8C57A">
      <w:start w:val="1"/>
      <w:numFmt w:val="decimal"/>
      <w:lvlText w:val="%1."/>
      <w:lvlJc w:val="left"/>
      <w:pPr>
        <w:ind w:left="720" w:hanging="360"/>
      </w:pPr>
    </w:lvl>
    <w:lvl w:ilvl="1" w:tplc="54162160">
      <w:start w:val="1"/>
      <w:numFmt w:val="lowerLetter"/>
      <w:lvlText w:val="%2."/>
      <w:lvlJc w:val="left"/>
      <w:pPr>
        <w:ind w:left="1440" w:hanging="360"/>
      </w:pPr>
    </w:lvl>
    <w:lvl w:ilvl="2" w:tplc="EA741024">
      <w:start w:val="1"/>
      <w:numFmt w:val="lowerRoman"/>
      <w:lvlText w:val="%3."/>
      <w:lvlJc w:val="right"/>
      <w:pPr>
        <w:ind w:left="2160" w:hanging="180"/>
      </w:pPr>
    </w:lvl>
    <w:lvl w:ilvl="3" w:tplc="89BC5B98">
      <w:start w:val="1"/>
      <w:numFmt w:val="decimal"/>
      <w:lvlText w:val="%4."/>
      <w:lvlJc w:val="left"/>
      <w:pPr>
        <w:ind w:left="2880" w:hanging="360"/>
      </w:pPr>
    </w:lvl>
    <w:lvl w:ilvl="4" w:tplc="71A8B012">
      <w:start w:val="1"/>
      <w:numFmt w:val="lowerLetter"/>
      <w:lvlText w:val="%5."/>
      <w:lvlJc w:val="left"/>
      <w:pPr>
        <w:ind w:left="3600" w:hanging="360"/>
      </w:pPr>
    </w:lvl>
    <w:lvl w:ilvl="5" w:tplc="3B8CC3CC">
      <w:start w:val="1"/>
      <w:numFmt w:val="lowerRoman"/>
      <w:lvlText w:val="%6."/>
      <w:lvlJc w:val="right"/>
      <w:pPr>
        <w:ind w:left="4320" w:hanging="180"/>
      </w:pPr>
    </w:lvl>
    <w:lvl w:ilvl="6" w:tplc="0EE82A0E">
      <w:start w:val="1"/>
      <w:numFmt w:val="decimal"/>
      <w:lvlText w:val="%7."/>
      <w:lvlJc w:val="left"/>
      <w:pPr>
        <w:ind w:left="5040" w:hanging="360"/>
      </w:pPr>
    </w:lvl>
    <w:lvl w:ilvl="7" w:tplc="DC623F12">
      <w:start w:val="1"/>
      <w:numFmt w:val="lowerLetter"/>
      <w:lvlText w:val="%8."/>
      <w:lvlJc w:val="left"/>
      <w:pPr>
        <w:ind w:left="5760" w:hanging="360"/>
      </w:pPr>
    </w:lvl>
    <w:lvl w:ilvl="8" w:tplc="012AE4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DF9B"/>
    <w:multiLevelType w:val="hybridMultilevel"/>
    <w:tmpl w:val="05B2CC4C"/>
    <w:lvl w:ilvl="0" w:tplc="25CE9680">
      <w:start w:val="1"/>
      <w:numFmt w:val="decimal"/>
      <w:lvlText w:val="%1."/>
      <w:lvlJc w:val="left"/>
      <w:pPr>
        <w:ind w:left="720" w:hanging="360"/>
      </w:pPr>
    </w:lvl>
    <w:lvl w:ilvl="1" w:tplc="38DA6E0A">
      <w:start w:val="1"/>
      <w:numFmt w:val="lowerLetter"/>
      <w:lvlText w:val="%2."/>
      <w:lvlJc w:val="left"/>
      <w:pPr>
        <w:ind w:left="1440" w:hanging="360"/>
      </w:pPr>
    </w:lvl>
    <w:lvl w:ilvl="2" w:tplc="E084B2E8">
      <w:start w:val="1"/>
      <w:numFmt w:val="lowerRoman"/>
      <w:lvlText w:val="%3."/>
      <w:lvlJc w:val="right"/>
      <w:pPr>
        <w:ind w:left="2160" w:hanging="180"/>
      </w:pPr>
    </w:lvl>
    <w:lvl w:ilvl="3" w:tplc="E7DC9A50">
      <w:start w:val="1"/>
      <w:numFmt w:val="decimal"/>
      <w:lvlText w:val="%4."/>
      <w:lvlJc w:val="left"/>
      <w:pPr>
        <w:ind w:left="2880" w:hanging="360"/>
      </w:pPr>
    </w:lvl>
    <w:lvl w:ilvl="4" w:tplc="61381BCC">
      <w:start w:val="1"/>
      <w:numFmt w:val="lowerLetter"/>
      <w:lvlText w:val="%5."/>
      <w:lvlJc w:val="left"/>
      <w:pPr>
        <w:ind w:left="3600" w:hanging="360"/>
      </w:pPr>
    </w:lvl>
    <w:lvl w:ilvl="5" w:tplc="B2002550">
      <w:start w:val="1"/>
      <w:numFmt w:val="lowerRoman"/>
      <w:lvlText w:val="%6."/>
      <w:lvlJc w:val="right"/>
      <w:pPr>
        <w:ind w:left="4320" w:hanging="180"/>
      </w:pPr>
    </w:lvl>
    <w:lvl w:ilvl="6" w:tplc="C0642CC2">
      <w:start w:val="1"/>
      <w:numFmt w:val="decimal"/>
      <w:lvlText w:val="%7."/>
      <w:lvlJc w:val="left"/>
      <w:pPr>
        <w:ind w:left="5040" w:hanging="360"/>
      </w:pPr>
    </w:lvl>
    <w:lvl w:ilvl="7" w:tplc="8062BAF6">
      <w:start w:val="1"/>
      <w:numFmt w:val="lowerLetter"/>
      <w:lvlText w:val="%8."/>
      <w:lvlJc w:val="left"/>
      <w:pPr>
        <w:ind w:left="5760" w:hanging="360"/>
      </w:pPr>
    </w:lvl>
    <w:lvl w:ilvl="8" w:tplc="14C4E86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06098"/>
    <w:multiLevelType w:val="multilevel"/>
    <w:tmpl w:val="C4CC59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8" w15:restartNumberingAfterBreak="0">
    <w:nsid w:val="33EB8313"/>
    <w:multiLevelType w:val="hybridMultilevel"/>
    <w:tmpl w:val="43BC043E"/>
    <w:lvl w:ilvl="0" w:tplc="1B24A0BE">
      <w:start w:val="1"/>
      <w:numFmt w:val="decimal"/>
      <w:lvlText w:val="%1."/>
      <w:lvlJc w:val="left"/>
      <w:pPr>
        <w:ind w:left="720" w:hanging="360"/>
      </w:pPr>
    </w:lvl>
    <w:lvl w:ilvl="1" w:tplc="109A4A42">
      <w:start w:val="1"/>
      <w:numFmt w:val="lowerLetter"/>
      <w:lvlText w:val="%2."/>
      <w:lvlJc w:val="left"/>
      <w:pPr>
        <w:ind w:left="1505" w:hanging="360"/>
      </w:pPr>
    </w:lvl>
    <w:lvl w:ilvl="2" w:tplc="45D8C8F4">
      <w:start w:val="1"/>
      <w:numFmt w:val="lowerRoman"/>
      <w:lvlText w:val="%3."/>
      <w:lvlJc w:val="right"/>
      <w:pPr>
        <w:ind w:left="2225" w:hanging="180"/>
      </w:pPr>
    </w:lvl>
    <w:lvl w:ilvl="3" w:tplc="F29E1954">
      <w:start w:val="1"/>
      <w:numFmt w:val="decimal"/>
      <w:lvlText w:val="%4."/>
      <w:lvlJc w:val="left"/>
      <w:pPr>
        <w:ind w:left="2945" w:hanging="360"/>
      </w:pPr>
    </w:lvl>
    <w:lvl w:ilvl="4" w:tplc="101E92F2">
      <w:start w:val="1"/>
      <w:numFmt w:val="lowerLetter"/>
      <w:lvlText w:val="%5."/>
      <w:lvlJc w:val="left"/>
      <w:pPr>
        <w:ind w:left="3665" w:hanging="360"/>
      </w:pPr>
    </w:lvl>
    <w:lvl w:ilvl="5" w:tplc="DE26F24A">
      <w:start w:val="1"/>
      <w:numFmt w:val="lowerRoman"/>
      <w:lvlText w:val="%6."/>
      <w:lvlJc w:val="right"/>
      <w:pPr>
        <w:ind w:left="4385" w:hanging="180"/>
      </w:pPr>
    </w:lvl>
    <w:lvl w:ilvl="6" w:tplc="9A74F86E">
      <w:start w:val="1"/>
      <w:numFmt w:val="decimal"/>
      <w:lvlText w:val="%7."/>
      <w:lvlJc w:val="left"/>
      <w:pPr>
        <w:ind w:left="5105" w:hanging="360"/>
      </w:pPr>
    </w:lvl>
    <w:lvl w:ilvl="7" w:tplc="2AE055F6">
      <w:start w:val="1"/>
      <w:numFmt w:val="lowerLetter"/>
      <w:lvlText w:val="%8."/>
      <w:lvlJc w:val="left"/>
      <w:pPr>
        <w:ind w:left="5825" w:hanging="360"/>
      </w:pPr>
    </w:lvl>
    <w:lvl w:ilvl="8" w:tplc="3FF2A3A6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F5D6E"/>
    <w:multiLevelType w:val="hybridMultilevel"/>
    <w:tmpl w:val="0C28CC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3" w15:restartNumberingAfterBreak="0">
    <w:nsid w:val="760E6B3D"/>
    <w:multiLevelType w:val="hybridMultilevel"/>
    <w:tmpl w:val="F296110A"/>
    <w:lvl w:ilvl="0" w:tplc="F75C0DB2">
      <w:start w:val="1"/>
      <w:numFmt w:val="decimal"/>
      <w:lvlText w:val="%1."/>
      <w:lvlJc w:val="left"/>
      <w:pPr>
        <w:ind w:left="720" w:hanging="360"/>
      </w:pPr>
    </w:lvl>
    <w:lvl w:ilvl="1" w:tplc="B7B4F08A">
      <w:start w:val="1"/>
      <w:numFmt w:val="lowerLetter"/>
      <w:lvlText w:val="%2."/>
      <w:lvlJc w:val="left"/>
      <w:pPr>
        <w:ind w:left="1440" w:hanging="360"/>
      </w:pPr>
    </w:lvl>
    <w:lvl w:ilvl="2" w:tplc="A44A1878">
      <w:start w:val="1"/>
      <w:numFmt w:val="lowerRoman"/>
      <w:lvlText w:val="%3."/>
      <w:lvlJc w:val="right"/>
      <w:pPr>
        <w:ind w:left="2160" w:hanging="180"/>
      </w:pPr>
    </w:lvl>
    <w:lvl w:ilvl="3" w:tplc="0F14F550">
      <w:start w:val="1"/>
      <w:numFmt w:val="decimal"/>
      <w:lvlText w:val="%4."/>
      <w:lvlJc w:val="left"/>
      <w:pPr>
        <w:ind w:left="2880" w:hanging="360"/>
      </w:pPr>
    </w:lvl>
    <w:lvl w:ilvl="4" w:tplc="C390F2A8">
      <w:start w:val="1"/>
      <w:numFmt w:val="lowerLetter"/>
      <w:lvlText w:val="%5."/>
      <w:lvlJc w:val="left"/>
      <w:pPr>
        <w:ind w:left="3600" w:hanging="360"/>
      </w:pPr>
    </w:lvl>
    <w:lvl w:ilvl="5" w:tplc="D4AA223A">
      <w:start w:val="1"/>
      <w:numFmt w:val="lowerRoman"/>
      <w:lvlText w:val="%6."/>
      <w:lvlJc w:val="right"/>
      <w:pPr>
        <w:ind w:left="4320" w:hanging="180"/>
      </w:pPr>
    </w:lvl>
    <w:lvl w:ilvl="6" w:tplc="76041062">
      <w:start w:val="1"/>
      <w:numFmt w:val="decimal"/>
      <w:lvlText w:val="%7."/>
      <w:lvlJc w:val="left"/>
      <w:pPr>
        <w:ind w:left="5040" w:hanging="360"/>
      </w:pPr>
    </w:lvl>
    <w:lvl w:ilvl="7" w:tplc="D3085228">
      <w:start w:val="1"/>
      <w:numFmt w:val="lowerLetter"/>
      <w:lvlText w:val="%8."/>
      <w:lvlJc w:val="left"/>
      <w:pPr>
        <w:ind w:left="5760" w:hanging="360"/>
      </w:pPr>
    </w:lvl>
    <w:lvl w:ilvl="8" w:tplc="540A94F6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623020">
    <w:abstractNumId w:val="13"/>
  </w:num>
  <w:num w:numId="2" w16cid:durableId="1002702840">
    <w:abstractNumId w:val="4"/>
  </w:num>
  <w:num w:numId="3" w16cid:durableId="976690814">
    <w:abstractNumId w:val="8"/>
  </w:num>
  <w:num w:numId="4" w16cid:durableId="702831202">
    <w:abstractNumId w:val="2"/>
  </w:num>
  <w:num w:numId="5" w16cid:durableId="812867608">
    <w:abstractNumId w:val="3"/>
  </w:num>
  <w:num w:numId="6" w16cid:durableId="1973634022">
    <w:abstractNumId w:val="7"/>
  </w:num>
  <w:num w:numId="7" w16cid:durableId="484660608">
    <w:abstractNumId w:val="6"/>
  </w:num>
  <w:num w:numId="8" w16cid:durableId="1532374042">
    <w:abstractNumId w:val="11"/>
  </w:num>
  <w:num w:numId="9" w16cid:durableId="19727855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014885">
    <w:abstractNumId w:val="9"/>
  </w:num>
  <w:num w:numId="11" w16cid:durableId="1371609549">
    <w:abstractNumId w:val="12"/>
  </w:num>
  <w:num w:numId="12" w16cid:durableId="1617638956">
    <w:abstractNumId w:val="0"/>
  </w:num>
  <w:num w:numId="13" w16cid:durableId="1923180497">
    <w:abstractNumId w:val="1"/>
  </w:num>
  <w:num w:numId="14" w16cid:durableId="2027249398">
    <w:abstractNumId w:val="10"/>
  </w:num>
  <w:num w:numId="15" w16cid:durableId="203098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46722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A5597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2A49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80141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0296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1C98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13B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22AF"/>
    <w:rsid w:val="006F66FF"/>
    <w:rsid w:val="00707C9D"/>
    <w:rsid w:val="0071008A"/>
    <w:rsid w:val="00710C84"/>
    <w:rsid w:val="00712426"/>
    <w:rsid w:val="00720F47"/>
    <w:rsid w:val="00732002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22F2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2B21"/>
    <w:rsid w:val="008D3BEE"/>
    <w:rsid w:val="008D46D0"/>
    <w:rsid w:val="008D65BB"/>
    <w:rsid w:val="008D7F28"/>
    <w:rsid w:val="008E2F7B"/>
    <w:rsid w:val="008E505B"/>
    <w:rsid w:val="009167F0"/>
    <w:rsid w:val="00921934"/>
    <w:rsid w:val="00923FDF"/>
    <w:rsid w:val="00930CBC"/>
    <w:rsid w:val="00931958"/>
    <w:rsid w:val="00933C87"/>
    <w:rsid w:val="00934784"/>
    <w:rsid w:val="009465E1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33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378B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1133B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1ADF"/>
    <w:rsid w:val="00CB39CB"/>
    <w:rsid w:val="00CD6800"/>
    <w:rsid w:val="00CE0EE4"/>
    <w:rsid w:val="00CE1AA5"/>
    <w:rsid w:val="00CE4381"/>
    <w:rsid w:val="00CF35C9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37633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266A6"/>
    <w:rsid w:val="00E30E76"/>
    <w:rsid w:val="00E31B7E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32355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6B09"/>
    <w:rsid w:val="00FE6F50"/>
    <w:rsid w:val="00FF1031"/>
    <w:rsid w:val="00FF6080"/>
    <w:rsid w:val="00FF6BE3"/>
    <w:rsid w:val="06F4C97C"/>
    <w:rsid w:val="0B92BA60"/>
    <w:rsid w:val="14BA1A39"/>
    <w:rsid w:val="14DE1A36"/>
    <w:rsid w:val="19606319"/>
    <w:rsid w:val="24898732"/>
    <w:rsid w:val="2C837281"/>
    <w:rsid w:val="2FAA4D49"/>
    <w:rsid w:val="37D28086"/>
    <w:rsid w:val="41DC0FA7"/>
    <w:rsid w:val="43457895"/>
    <w:rsid w:val="44A4640A"/>
    <w:rsid w:val="484E69F8"/>
    <w:rsid w:val="4DB2A019"/>
    <w:rsid w:val="66C8B76B"/>
    <w:rsid w:val="6EC196AF"/>
    <w:rsid w:val="712438F7"/>
    <w:rsid w:val="7C1EC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d604872d-7149-494d-b801-08e1d930fb43"/>
    <ds:schemaRef ds:uri="0abba25b-d93c-4a12-ba8b-083a0f2f2a61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2691</Characters>
  <Application>Microsoft Office Word</Application>
  <DocSecurity>0</DocSecurity>
  <Lines>22</Lines>
  <Paragraphs>6</Paragraphs>
  <ScaleCrop>false</ScaleCrop>
  <Company>PVS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2025-02-11T13:54:00Z</dcterms:created>
  <dcterms:modified xsi:type="dcterms:W3CDTF">2025-05-06T04:18:00Z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