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4727F9" w:rsidRPr="00E37B0B" w14:paraId="6564FD4A" w14:textId="77777777" w:rsidTr="00C63B51">
        <w:tc>
          <w:tcPr>
            <w:tcW w:w="9060" w:type="dxa"/>
            <w:gridSpan w:val="2"/>
            <w:shd w:val="clear" w:color="auto" w:fill="D9D9D9"/>
          </w:tcPr>
          <w:p w14:paraId="390DE708" w14:textId="77777777" w:rsidR="004727F9" w:rsidRPr="0066276B" w:rsidRDefault="004727F9" w:rsidP="00C63B51">
            <w:pPr>
              <w:widowControl w:val="0"/>
              <w:spacing w:before="120" w:after="120"/>
              <w:jc w:val="center"/>
              <w:rPr>
                <w:rFonts w:cs="Segoe UI"/>
                <w:b/>
                <w:szCs w:val="22"/>
              </w:rPr>
            </w:pPr>
            <w:r w:rsidRPr="0066276B">
              <w:rPr>
                <w:rFonts w:cs="Segoe UI"/>
                <w:b/>
                <w:szCs w:val="24"/>
              </w:rPr>
              <w:t>ČESTNÉ PROHLÁŠENÍ O NEEXISTENCI STŘETU ZÁJMŮ</w:t>
            </w:r>
            <w:r>
              <w:rPr>
                <w:rFonts w:cs="Segoe UI"/>
                <w:b/>
                <w:szCs w:val="24"/>
              </w:rPr>
              <w:br/>
            </w:r>
            <w:r w:rsidRPr="0066276B">
              <w:rPr>
                <w:rFonts w:cs="Segoe UI"/>
                <w:b/>
                <w:szCs w:val="24"/>
              </w:rPr>
              <w:t>dle § 4b zákona č. 159/2006 sb., o střetu zájmů, ve znění pozdějších předpisů</w:t>
            </w:r>
          </w:p>
        </w:tc>
      </w:tr>
      <w:tr w:rsidR="004727F9" w:rsidRPr="00E37B0B" w14:paraId="4D2F7969" w14:textId="77777777" w:rsidTr="00C63B51">
        <w:tc>
          <w:tcPr>
            <w:tcW w:w="2547" w:type="dxa"/>
            <w:shd w:val="clear" w:color="auto" w:fill="D9D9D9"/>
          </w:tcPr>
          <w:p w14:paraId="6E55E27C" w14:textId="77777777" w:rsidR="004727F9" w:rsidRPr="00E37B0B" w:rsidRDefault="004727F9" w:rsidP="00C63B51">
            <w:pPr>
              <w:widowControl w:val="0"/>
              <w:spacing w:before="120" w:after="120"/>
              <w:rPr>
                <w:rFonts w:cs="Segoe UI"/>
                <w:b/>
                <w:szCs w:val="22"/>
              </w:rPr>
            </w:pPr>
            <w:r w:rsidRPr="00B54738">
              <w:rPr>
                <w:rFonts w:cs="Segoe UI"/>
                <w:b/>
                <w:iCs/>
              </w:rPr>
              <w:t>Název veřejné zakázky</w:t>
            </w:r>
          </w:p>
        </w:tc>
        <w:tc>
          <w:tcPr>
            <w:tcW w:w="6513" w:type="dxa"/>
            <w:shd w:val="clear" w:color="auto" w:fill="FFFFFF" w:themeFill="background1"/>
          </w:tcPr>
          <w:p w14:paraId="6FDEB0BF" w14:textId="7A0A2E00" w:rsidR="004727F9" w:rsidRPr="00E37B0B" w:rsidRDefault="0029774D" w:rsidP="000073D9">
            <w:pPr>
              <w:widowControl w:val="0"/>
              <w:spacing w:before="120" w:after="120"/>
              <w:rPr>
                <w:rFonts w:cs="Segoe UI"/>
                <w:b/>
                <w:szCs w:val="22"/>
              </w:rPr>
            </w:pPr>
            <w:r w:rsidRPr="0029774D">
              <w:rPr>
                <w:rFonts w:cs="Segoe UI"/>
                <w:b/>
                <w:iCs/>
                <w:szCs w:val="22"/>
              </w:rPr>
              <w:t>Rekonstrukce kanalizace a obnova vodovodních řadů, ul. Albertov a okolí, Praha 2, II. etapa</w:t>
            </w:r>
          </w:p>
        </w:tc>
      </w:tr>
      <w:tr w:rsidR="004727F9" w:rsidRPr="00E37B0B" w14:paraId="207035AB" w14:textId="77777777" w:rsidTr="00C63B51">
        <w:tc>
          <w:tcPr>
            <w:tcW w:w="9060" w:type="dxa"/>
            <w:gridSpan w:val="2"/>
            <w:shd w:val="clear" w:color="auto" w:fill="D9D9D9"/>
          </w:tcPr>
          <w:p w14:paraId="31518BE2" w14:textId="77777777" w:rsidR="004727F9" w:rsidRPr="005125B4" w:rsidRDefault="004727F9" w:rsidP="00C63B51">
            <w:pPr>
              <w:widowControl w:val="0"/>
              <w:spacing w:before="120" w:after="120"/>
              <w:jc w:val="center"/>
              <w:rPr>
                <w:rFonts w:cs="Segoe UI"/>
                <w:szCs w:val="22"/>
                <w:highlight w:val="yellow"/>
              </w:rPr>
            </w:pPr>
            <w:r w:rsidRPr="00E37B0B">
              <w:rPr>
                <w:rFonts w:cs="Segoe UI"/>
                <w:b/>
                <w:szCs w:val="22"/>
              </w:rPr>
              <w:t>Dodavatel</w:t>
            </w:r>
          </w:p>
        </w:tc>
      </w:tr>
      <w:tr w:rsidR="004727F9" w:rsidRPr="00E37B0B" w14:paraId="7FDC42DB" w14:textId="77777777" w:rsidTr="00C63B51">
        <w:tc>
          <w:tcPr>
            <w:tcW w:w="2547" w:type="dxa"/>
            <w:shd w:val="clear" w:color="auto" w:fill="D9D9D9"/>
          </w:tcPr>
          <w:p w14:paraId="0BC7AF6D" w14:textId="77777777" w:rsidR="004727F9" w:rsidRPr="00E37B0B" w:rsidRDefault="004727F9" w:rsidP="00C63B51">
            <w:pPr>
              <w:widowControl w:val="0"/>
              <w:spacing w:before="120" w:after="120"/>
              <w:rPr>
                <w:rFonts w:cs="Segoe UI"/>
                <w:b/>
                <w:szCs w:val="22"/>
              </w:rPr>
            </w:pPr>
            <w:r w:rsidRPr="00E37B0B">
              <w:rPr>
                <w:rFonts w:cs="Segoe UI"/>
                <w:b/>
                <w:szCs w:val="22"/>
              </w:rPr>
              <w:t>Obchodní firma</w:t>
            </w:r>
          </w:p>
        </w:tc>
        <w:tc>
          <w:tcPr>
            <w:tcW w:w="6513" w:type="dxa"/>
          </w:tcPr>
          <w:p w14:paraId="06A194F6" w14:textId="77777777" w:rsidR="004727F9" w:rsidRPr="00F434D3" w:rsidRDefault="004727F9" w:rsidP="00C63B51">
            <w:pPr>
              <w:widowControl w:val="0"/>
              <w:spacing w:before="120" w:after="120"/>
              <w:rPr>
                <w:rFonts w:cs="Segoe UI"/>
                <w:i/>
                <w:iCs/>
                <w:szCs w:val="22"/>
              </w:rPr>
            </w:pPr>
            <w:r w:rsidRPr="005125B4">
              <w:rPr>
                <w:rFonts w:cs="Segoe UI"/>
                <w:szCs w:val="22"/>
                <w:highlight w:val="yellow"/>
              </w:rPr>
              <w:t>[DOPLNÍ ÚČASTNÍK]</w:t>
            </w:r>
          </w:p>
        </w:tc>
      </w:tr>
      <w:tr w:rsidR="004727F9" w:rsidRPr="00E37B0B" w14:paraId="6E4632E5" w14:textId="77777777" w:rsidTr="00C63B51">
        <w:tc>
          <w:tcPr>
            <w:tcW w:w="2547" w:type="dxa"/>
            <w:shd w:val="clear" w:color="auto" w:fill="D9D9D9"/>
          </w:tcPr>
          <w:p w14:paraId="3FFDD32E" w14:textId="77777777" w:rsidR="004727F9" w:rsidRPr="00E37B0B" w:rsidRDefault="004727F9" w:rsidP="00C63B51">
            <w:pPr>
              <w:widowControl w:val="0"/>
              <w:spacing w:before="120" w:after="120"/>
              <w:rPr>
                <w:rFonts w:cs="Segoe UI"/>
                <w:b/>
                <w:szCs w:val="22"/>
              </w:rPr>
            </w:pPr>
            <w:r w:rsidRPr="00E37B0B">
              <w:rPr>
                <w:rFonts w:cs="Segoe UI"/>
                <w:b/>
                <w:szCs w:val="22"/>
              </w:rPr>
              <w:t>Sídlo</w:t>
            </w:r>
          </w:p>
        </w:tc>
        <w:tc>
          <w:tcPr>
            <w:tcW w:w="6513" w:type="dxa"/>
          </w:tcPr>
          <w:p w14:paraId="079B5CDD" w14:textId="77777777" w:rsidR="004727F9" w:rsidRPr="00E37B0B" w:rsidRDefault="004727F9" w:rsidP="00C63B51">
            <w:pPr>
              <w:widowControl w:val="0"/>
              <w:spacing w:before="120" w:after="120"/>
              <w:rPr>
                <w:rFonts w:cs="Segoe UI"/>
                <w:szCs w:val="22"/>
              </w:rPr>
            </w:pPr>
            <w:r w:rsidRPr="005125B4">
              <w:rPr>
                <w:rFonts w:cs="Segoe UI"/>
                <w:szCs w:val="22"/>
                <w:highlight w:val="yellow"/>
              </w:rPr>
              <w:t>[DOPLNÍ ÚČASTNÍK]</w:t>
            </w:r>
          </w:p>
        </w:tc>
      </w:tr>
      <w:tr w:rsidR="004727F9" w:rsidRPr="00E37B0B" w14:paraId="0B4F3AE2" w14:textId="77777777" w:rsidTr="00C63B51">
        <w:tc>
          <w:tcPr>
            <w:tcW w:w="2547" w:type="dxa"/>
            <w:shd w:val="clear" w:color="auto" w:fill="D9D9D9"/>
          </w:tcPr>
          <w:p w14:paraId="161B6644" w14:textId="77777777" w:rsidR="004727F9" w:rsidRPr="00E37B0B" w:rsidRDefault="004727F9" w:rsidP="00C63B51">
            <w:pPr>
              <w:widowControl w:val="0"/>
              <w:spacing w:before="120" w:after="120"/>
              <w:rPr>
                <w:rFonts w:cs="Segoe UI"/>
                <w:b/>
                <w:szCs w:val="22"/>
              </w:rPr>
            </w:pPr>
            <w:r w:rsidRPr="00E37B0B">
              <w:rPr>
                <w:rFonts w:cs="Segoe UI"/>
                <w:b/>
                <w:szCs w:val="22"/>
              </w:rPr>
              <w:t>IČO</w:t>
            </w:r>
          </w:p>
        </w:tc>
        <w:tc>
          <w:tcPr>
            <w:tcW w:w="6513" w:type="dxa"/>
          </w:tcPr>
          <w:p w14:paraId="342F07E9" w14:textId="77777777" w:rsidR="004727F9" w:rsidRPr="00E37B0B" w:rsidRDefault="004727F9" w:rsidP="00C63B51">
            <w:pPr>
              <w:widowControl w:val="0"/>
              <w:spacing w:before="120" w:after="120"/>
              <w:rPr>
                <w:rFonts w:cs="Segoe UI"/>
                <w:szCs w:val="22"/>
              </w:rPr>
            </w:pPr>
            <w:r w:rsidRPr="005125B4">
              <w:rPr>
                <w:rFonts w:cs="Segoe UI"/>
                <w:szCs w:val="22"/>
                <w:highlight w:val="yellow"/>
              </w:rPr>
              <w:t>[DOPLNÍ ÚČASTNÍK]</w:t>
            </w:r>
          </w:p>
        </w:tc>
      </w:tr>
    </w:tbl>
    <w:p w14:paraId="3B827210" w14:textId="77777777" w:rsidR="004727F9" w:rsidRPr="00E37B0B" w:rsidRDefault="004727F9" w:rsidP="004727F9">
      <w:pPr>
        <w:widowControl w:val="0"/>
        <w:spacing w:before="120" w:line="276" w:lineRule="auto"/>
        <w:rPr>
          <w:rFonts w:cs="Segoe UI"/>
          <w:bCs/>
          <w:szCs w:val="22"/>
        </w:rPr>
      </w:pPr>
      <w:bookmarkStart w:id="0" w:name="_Hlk211949385"/>
      <w:r w:rsidRPr="00E37B0B">
        <w:rPr>
          <w:rFonts w:cs="Segoe UI"/>
          <w:bCs/>
          <w:szCs w:val="22"/>
        </w:rPr>
        <w:t>(dále jen „</w:t>
      </w:r>
      <w:r w:rsidRPr="00E37B0B">
        <w:rPr>
          <w:rFonts w:cs="Segoe UI"/>
          <w:bCs/>
          <w:i/>
          <w:szCs w:val="22"/>
        </w:rPr>
        <w:t>dodavatel</w:t>
      </w:r>
      <w:r w:rsidRPr="00E37B0B">
        <w:rPr>
          <w:rFonts w:cs="Segoe UI"/>
          <w:bCs/>
          <w:szCs w:val="22"/>
        </w:rPr>
        <w:t>“),</w:t>
      </w:r>
    </w:p>
    <w:p w14:paraId="6BEDA4EE" w14:textId="333A370B" w:rsidR="00C6137C" w:rsidRPr="00725D5E" w:rsidRDefault="004727F9" w:rsidP="00725D5E">
      <w:pPr>
        <w:widowControl w:val="0"/>
        <w:spacing w:before="120" w:after="120" w:line="276" w:lineRule="auto"/>
        <w:rPr>
          <w:rFonts w:cs="Segoe UI"/>
          <w:b/>
          <w:bCs/>
          <w:szCs w:val="22"/>
        </w:rPr>
      </w:pPr>
      <w:bookmarkStart w:id="1" w:name="_Hlk211881114"/>
      <w:r w:rsidRPr="009F75F4">
        <w:rPr>
          <w:rFonts w:cs="Segoe UI"/>
          <w:bCs/>
          <w:szCs w:val="22"/>
        </w:rPr>
        <w:t>tímto ve věci </w:t>
      </w:r>
      <w:r>
        <w:rPr>
          <w:rFonts w:cs="Segoe UI"/>
          <w:bCs/>
          <w:szCs w:val="22"/>
        </w:rPr>
        <w:t>výše uvedené veřejné zakázky</w:t>
      </w:r>
      <w:r w:rsidRPr="009F75F4">
        <w:rPr>
          <w:rFonts w:cs="Segoe UI"/>
          <w:bCs/>
          <w:szCs w:val="22"/>
        </w:rPr>
        <w:t xml:space="preserve"> prohlašuj</w:t>
      </w:r>
      <w:r>
        <w:rPr>
          <w:rFonts w:cs="Segoe UI"/>
          <w:bCs/>
          <w:szCs w:val="22"/>
        </w:rPr>
        <w:t>e</w:t>
      </w:r>
      <w:r w:rsidRPr="009F75F4">
        <w:rPr>
          <w:rFonts w:cs="Segoe UI"/>
          <w:bCs/>
          <w:szCs w:val="22"/>
        </w:rPr>
        <w:t>, že</w:t>
      </w:r>
      <w:r>
        <w:rPr>
          <w:rFonts w:cs="Segoe UI"/>
          <w:bCs/>
          <w:szCs w:val="22"/>
        </w:rPr>
        <w:t>:</w:t>
      </w:r>
      <w:bookmarkEnd w:id="0"/>
      <w:bookmarkEnd w:id="1"/>
    </w:p>
    <w:p w14:paraId="4D64E408" w14:textId="1364B7E6" w:rsidR="00F505B5" w:rsidRPr="009F75F4" w:rsidRDefault="00F505B5" w:rsidP="00F505B5">
      <w:pPr>
        <w:widowControl w:val="0"/>
        <w:numPr>
          <w:ilvl w:val="0"/>
          <w:numId w:val="12"/>
        </w:numPr>
        <w:autoSpaceDE w:val="0"/>
        <w:autoSpaceDN w:val="0"/>
        <w:adjustRightInd w:val="0"/>
        <w:spacing w:before="120" w:after="120" w:line="276" w:lineRule="auto"/>
        <w:ind w:left="714" w:hanging="357"/>
        <w:rPr>
          <w:rFonts w:cs="Segoe UI"/>
          <w:szCs w:val="22"/>
        </w:rPr>
      </w:pPr>
      <w:r w:rsidRPr="009F75F4">
        <w:rPr>
          <w:rFonts w:cs="Segoe UI"/>
          <w:szCs w:val="22"/>
        </w:rPr>
        <w:t>není obchodní společností, ve které veřejný funkcionář uvedený v § 2 odst. 1 písm. c) zákona č. 159/2006 Sb., o střetu zájmů, ve znění pozdějších předpisů (</w:t>
      </w:r>
      <w:r w:rsidR="007C2942" w:rsidRPr="007C2942">
        <w:rPr>
          <w:rFonts w:cs="Segoe UI"/>
          <w:szCs w:val="22"/>
        </w:rPr>
        <w:t xml:space="preserve">prezident republiky, </w:t>
      </w:r>
      <w:r w:rsidRPr="009F75F4">
        <w:rPr>
          <w:rFonts w:cs="Segoe UI"/>
          <w:szCs w:val="22"/>
        </w:rPr>
        <w:t>člen vlády nebo vedoucí jiného ústředního správního úřadu, v jehož čele není člen vlády) nebo jím ovládaná osoba vlastní podíl představující alespoň 25 % účasti společníka v obchodní společnosti;</w:t>
      </w:r>
    </w:p>
    <w:p w14:paraId="1AE21AC5" w14:textId="564BEA48" w:rsidR="002010A9" w:rsidRPr="009F75F4" w:rsidRDefault="00F505B5" w:rsidP="00F505B5">
      <w:pPr>
        <w:widowControl w:val="0"/>
        <w:numPr>
          <w:ilvl w:val="0"/>
          <w:numId w:val="12"/>
        </w:numPr>
        <w:autoSpaceDE w:val="0"/>
        <w:autoSpaceDN w:val="0"/>
        <w:adjustRightInd w:val="0"/>
        <w:spacing w:before="120" w:after="120" w:line="276" w:lineRule="auto"/>
        <w:ind w:left="714" w:hanging="357"/>
        <w:rPr>
          <w:rFonts w:cs="Segoe UI"/>
          <w:szCs w:val="22"/>
        </w:rPr>
      </w:pPr>
      <w:r w:rsidRPr="009F75F4">
        <w:rPr>
          <w:rFonts w:cs="Segoe UI"/>
          <w:szCs w:val="22"/>
        </w:rPr>
        <w:t>poddodavatel, prostřednictvím kterého prokazuje kvalifikaci (existuje-li takový), není obchodní společností, ve které veřejný funkcionář uvedený v § 2 odst. 1 písm. c) zákona č. 159/2006 Sb., o střetu zájmů, ve znění pozdějších předpisů (</w:t>
      </w:r>
      <w:r w:rsidR="00A76245" w:rsidRPr="00A76245">
        <w:rPr>
          <w:rFonts w:cs="Segoe UI"/>
          <w:szCs w:val="22"/>
        </w:rPr>
        <w:t xml:space="preserve">prezident republiky, </w:t>
      </w:r>
      <w:r w:rsidRPr="009F75F4">
        <w:rPr>
          <w:rFonts w:cs="Segoe UI"/>
          <w:szCs w:val="22"/>
        </w:rPr>
        <w:t>člen vlády nebo vedoucí jiného ústředního správního úřadu, v jehož čele není člen vlády) nebo jím ovládaná osoba vlastní podíl představující alespoň 25 % účasti společníka v obchodní společnosti</w:t>
      </w:r>
      <w:r>
        <w:rPr>
          <w:rFonts w:cs="Segoe UI"/>
          <w:szCs w:val="22"/>
        </w:rPr>
        <w:t>.</w:t>
      </w:r>
    </w:p>
    <w:p w14:paraId="0CEC886B" w14:textId="77777777" w:rsidR="00F93E64" w:rsidRPr="00112783" w:rsidRDefault="00F93E64" w:rsidP="00C8584C">
      <w:pPr>
        <w:widowControl w:val="0"/>
        <w:spacing w:before="600" w:after="120" w:line="276" w:lineRule="auto"/>
        <w:jc w:val="left"/>
        <w:rPr>
          <w:rFonts w:cs="Segoe UI"/>
          <w:szCs w:val="22"/>
        </w:rPr>
      </w:pPr>
      <w:r w:rsidRPr="00112783">
        <w:rPr>
          <w:rFonts w:cs="Segoe UI"/>
          <w:szCs w:val="22"/>
        </w:rPr>
        <w:t xml:space="preserve">V </w:t>
      </w:r>
      <w:r w:rsidRPr="00FB46AC">
        <w:rPr>
          <w:rFonts w:cs="Segoe UI"/>
          <w:szCs w:val="22"/>
          <w:highlight w:val="yellow"/>
        </w:rPr>
        <w:t>[DOPLNÍ ÚČASTNÍK]</w:t>
      </w:r>
      <w:r w:rsidRPr="00112783">
        <w:rPr>
          <w:rFonts w:cs="Segoe UI"/>
          <w:szCs w:val="22"/>
        </w:rPr>
        <w:t xml:space="preserve"> dne </w:t>
      </w:r>
      <w:r w:rsidRPr="00FB46AC">
        <w:rPr>
          <w:rFonts w:cs="Segoe UI"/>
          <w:szCs w:val="22"/>
          <w:highlight w:val="yellow"/>
        </w:rPr>
        <w:t>[DOPLNÍ ÚČASTNÍK]</w:t>
      </w:r>
    </w:p>
    <w:p w14:paraId="693A3B0C" w14:textId="77777777" w:rsidR="00F93E64" w:rsidRPr="00725D5E" w:rsidRDefault="00F93E64" w:rsidP="00C8584C">
      <w:pPr>
        <w:widowControl w:val="0"/>
        <w:spacing w:before="480" w:line="276" w:lineRule="auto"/>
        <w:jc w:val="left"/>
        <w:rPr>
          <w:rFonts w:cs="Segoe UI"/>
          <w:szCs w:val="22"/>
        </w:rPr>
      </w:pPr>
      <w:r w:rsidRPr="00FB46AC">
        <w:rPr>
          <w:rFonts w:cs="Segoe UI"/>
          <w:szCs w:val="22"/>
          <w:highlight w:val="yellow"/>
        </w:rPr>
        <w:t>[DOPLNÍ ÚČASTNÍK]</w:t>
      </w:r>
      <w:r w:rsidRPr="00725D5E">
        <w:rPr>
          <w:rFonts w:cs="Segoe UI"/>
          <w:szCs w:val="22"/>
        </w:rPr>
        <w:t xml:space="preserve"> </w:t>
      </w:r>
    </w:p>
    <w:p w14:paraId="4479BA4A" w14:textId="5CBAD697" w:rsidR="00F93E64" w:rsidRPr="00E37B0B" w:rsidRDefault="00F93E64" w:rsidP="00C8584C">
      <w:pPr>
        <w:jc w:val="left"/>
        <w:rPr>
          <w:rFonts w:cs="Segoe UI"/>
          <w:sz w:val="20"/>
        </w:rPr>
      </w:pPr>
      <w:r w:rsidRPr="00725D5E">
        <w:rPr>
          <w:rFonts w:cs="Segoe UI"/>
          <w:szCs w:val="22"/>
        </w:rPr>
        <w:t>[</w:t>
      </w:r>
      <w:r w:rsidRPr="006F4203">
        <w:rPr>
          <w:rFonts w:cs="Segoe UI"/>
          <w:szCs w:val="22"/>
          <w:highlight w:val="yellow"/>
        </w:rPr>
        <w:t>jméno oprávněné osoby / označení funkce</w:t>
      </w:r>
      <w:r w:rsidRPr="00725D5E">
        <w:rPr>
          <w:rFonts w:cs="Segoe UI"/>
          <w:szCs w:val="22"/>
        </w:rPr>
        <w:t>]</w:t>
      </w:r>
    </w:p>
    <w:sectPr w:rsidR="00F93E64" w:rsidRPr="00E37B0B" w:rsidSect="00351D8B">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3DEE" w14:textId="77777777" w:rsidR="00A93AFE" w:rsidRDefault="00A93AFE" w:rsidP="00F65853">
      <w:r>
        <w:separator/>
      </w:r>
    </w:p>
  </w:endnote>
  <w:endnote w:type="continuationSeparator" w:id="0">
    <w:p w14:paraId="46B2F59C" w14:textId="77777777" w:rsidR="00A93AFE" w:rsidRDefault="00A93AFE"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A6B4" w14:textId="51C9CB0E" w:rsidR="00230186" w:rsidRDefault="00230186" w:rsidP="00351D8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5183" w14:textId="77777777" w:rsidR="00A93AFE" w:rsidRDefault="00A93AFE" w:rsidP="00F65853">
      <w:r>
        <w:separator/>
      </w:r>
    </w:p>
  </w:footnote>
  <w:footnote w:type="continuationSeparator" w:id="0">
    <w:p w14:paraId="66D6E797" w14:textId="77777777" w:rsidR="00A93AFE" w:rsidRDefault="00A93AFE"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88D5" w14:textId="71719D2F" w:rsidR="00FC7EF8" w:rsidRPr="00D07BC5" w:rsidRDefault="00FC7EF8" w:rsidP="00FC7EF8">
    <w:pPr>
      <w:pStyle w:val="Zhlav"/>
      <w:rPr>
        <w:rFonts w:ascii="Segoe UI" w:hAnsi="Segoe UI" w:cs="Segoe UI"/>
        <w:b/>
        <w:bCs/>
      </w:rPr>
    </w:pPr>
    <w:r w:rsidRPr="00D07BC5">
      <w:rPr>
        <w:rFonts w:ascii="Segoe UI" w:hAnsi="Segoe UI" w:cs="Segoe UI"/>
        <w:b/>
        <w:bCs/>
      </w:rPr>
      <w:t xml:space="preserve">Příloha zadávací dokumentace č. </w:t>
    </w:r>
    <w:r w:rsidR="00F83D8E">
      <w:rPr>
        <w:rFonts w:ascii="Segoe UI" w:hAnsi="Segoe UI" w:cs="Segoe UI"/>
        <w:b/>
        <w:bCs/>
      </w:rPr>
      <w:t>8</w:t>
    </w:r>
    <w:r w:rsidRPr="00D07BC5">
      <w:rPr>
        <w:rFonts w:ascii="Segoe UI" w:hAnsi="Segoe UI" w:cs="Segoe UI"/>
        <w:b/>
        <w:bCs/>
      </w:rPr>
      <w:t xml:space="preserve"> – Čestné prohlášení ke střetu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56074383">
    <w:abstractNumId w:val="5"/>
  </w:num>
  <w:num w:numId="2" w16cid:durableId="1935818941">
    <w:abstractNumId w:val="3"/>
  </w:num>
  <w:num w:numId="3" w16cid:durableId="226653076">
    <w:abstractNumId w:val="1"/>
  </w:num>
  <w:num w:numId="4" w16cid:durableId="1668361699">
    <w:abstractNumId w:val="6"/>
  </w:num>
  <w:num w:numId="5" w16cid:durableId="991369068">
    <w:abstractNumId w:val="2"/>
  </w:num>
  <w:num w:numId="6" w16cid:durableId="1075321660">
    <w:abstractNumId w:val="7"/>
  </w:num>
  <w:num w:numId="7" w16cid:durableId="1284993711">
    <w:abstractNumId w:val="9"/>
  </w:num>
  <w:num w:numId="8" w16cid:durableId="662204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9682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640053">
    <w:abstractNumId w:val="5"/>
    <w:lvlOverride w:ilvl="0">
      <w:startOverride w:val="1"/>
    </w:lvlOverride>
    <w:lvlOverride w:ilvl="1"/>
    <w:lvlOverride w:ilvl="2"/>
    <w:lvlOverride w:ilvl="3"/>
    <w:lvlOverride w:ilvl="4"/>
    <w:lvlOverride w:ilvl="5"/>
    <w:lvlOverride w:ilvl="6"/>
    <w:lvlOverride w:ilvl="7"/>
    <w:lvlOverride w:ilvl="8"/>
  </w:num>
  <w:num w:numId="11" w16cid:durableId="116341106">
    <w:abstractNumId w:val="5"/>
    <w:lvlOverride w:ilvl="0">
      <w:startOverride w:val="1"/>
    </w:lvlOverride>
    <w:lvlOverride w:ilvl="1"/>
    <w:lvlOverride w:ilvl="2"/>
    <w:lvlOverride w:ilvl="3"/>
    <w:lvlOverride w:ilvl="4"/>
    <w:lvlOverride w:ilvl="5"/>
    <w:lvlOverride w:ilvl="6"/>
    <w:lvlOverride w:ilvl="7"/>
    <w:lvlOverride w:ilvl="8"/>
  </w:num>
  <w:num w:numId="12" w16cid:durableId="1937010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073D9"/>
    <w:rsid w:val="000143D1"/>
    <w:rsid w:val="00017136"/>
    <w:rsid w:val="00020502"/>
    <w:rsid w:val="00023B5A"/>
    <w:rsid w:val="000255C9"/>
    <w:rsid w:val="00051E5D"/>
    <w:rsid w:val="00076421"/>
    <w:rsid w:val="00082369"/>
    <w:rsid w:val="00083E55"/>
    <w:rsid w:val="000D0CD0"/>
    <w:rsid w:val="000E35B1"/>
    <w:rsid w:val="000F3862"/>
    <w:rsid w:val="00103035"/>
    <w:rsid w:val="00125F30"/>
    <w:rsid w:val="00144AEC"/>
    <w:rsid w:val="00157D7A"/>
    <w:rsid w:val="00162BE1"/>
    <w:rsid w:val="00172A1D"/>
    <w:rsid w:val="001C17E7"/>
    <w:rsid w:val="001D1AC8"/>
    <w:rsid w:val="001D3E28"/>
    <w:rsid w:val="001D7852"/>
    <w:rsid w:val="001E3DEB"/>
    <w:rsid w:val="002010A9"/>
    <w:rsid w:val="002031F0"/>
    <w:rsid w:val="0020486D"/>
    <w:rsid w:val="00211565"/>
    <w:rsid w:val="002133CD"/>
    <w:rsid w:val="00220883"/>
    <w:rsid w:val="00230186"/>
    <w:rsid w:val="002510B2"/>
    <w:rsid w:val="00261F27"/>
    <w:rsid w:val="00263F9C"/>
    <w:rsid w:val="0029774D"/>
    <w:rsid w:val="002B1682"/>
    <w:rsid w:val="002D63CF"/>
    <w:rsid w:val="002E76BA"/>
    <w:rsid w:val="002F3903"/>
    <w:rsid w:val="002F694E"/>
    <w:rsid w:val="00302227"/>
    <w:rsid w:val="0031579E"/>
    <w:rsid w:val="00322D56"/>
    <w:rsid w:val="00350342"/>
    <w:rsid w:val="00351D8B"/>
    <w:rsid w:val="00354305"/>
    <w:rsid w:val="003862F2"/>
    <w:rsid w:val="003B35E6"/>
    <w:rsid w:val="003B3B09"/>
    <w:rsid w:val="003E29C1"/>
    <w:rsid w:val="003F31A5"/>
    <w:rsid w:val="00406908"/>
    <w:rsid w:val="004132DB"/>
    <w:rsid w:val="00421F1F"/>
    <w:rsid w:val="004233F4"/>
    <w:rsid w:val="0042465F"/>
    <w:rsid w:val="00433357"/>
    <w:rsid w:val="00433FD8"/>
    <w:rsid w:val="00442E21"/>
    <w:rsid w:val="0046404E"/>
    <w:rsid w:val="004727F9"/>
    <w:rsid w:val="004865DB"/>
    <w:rsid w:val="00487786"/>
    <w:rsid w:val="00494031"/>
    <w:rsid w:val="004968A2"/>
    <w:rsid w:val="004D1F28"/>
    <w:rsid w:val="004D468E"/>
    <w:rsid w:val="004D56AE"/>
    <w:rsid w:val="0050209E"/>
    <w:rsid w:val="00516483"/>
    <w:rsid w:val="005174CD"/>
    <w:rsid w:val="005224A8"/>
    <w:rsid w:val="0052465D"/>
    <w:rsid w:val="0052557F"/>
    <w:rsid w:val="00536AF4"/>
    <w:rsid w:val="00554CDD"/>
    <w:rsid w:val="00556B86"/>
    <w:rsid w:val="00564330"/>
    <w:rsid w:val="00567C07"/>
    <w:rsid w:val="00575D26"/>
    <w:rsid w:val="00580195"/>
    <w:rsid w:val="005B2ECD"/>
    <w:rsid w:val="005C08C4"/>
    <w:rsid w:val="005C50F0"/>
    <w:rsid w:val="005D327A"/>
    <w:rsid w:val="005D4873"/>
    <w:rsid w:val="006030E6"/>
    <w:rsid w:val="0061082C"/>
    <w:rsid w:val="00611AAC"/>
    <w:rsid w:val="006174C6"/>
    <w:rsid w:val="00664FD8"/>
    <w:rsid w:val="00676DBA"/>
    <w:rsid w:val="00684609"/>
    <w:rsid w:val="00697BF2"/>
    <w:rsid w:val="006A0CC4"/>
    <w:rsid w:val="006A5FCD"/>
    <w:rsid w:val="006B2570"/>
    <w:rsid w:val="006C3F85"/>
    <w:rsid w:val="006C5B41"/>
    <w:rsid w:val="006E7419"/>
    <w:rsid w:val="006F4203"/>
    <w:rsid w:val="007146E2"/>
    <w:rsid w:val="00725D5E"/>
    <w:rsid w:val="00733B1B"/>
    <w:rsid w:val="00734F5E"/>
    <w:rsid w:val="007424D2"/>
    <w:rsid w:val="00746D95"/>
    <w:rsid w:val="0077645F"/>
    <w:rsid w:val="007A6460"/>
    <w:rsid w:val="007B5A4B"/>
    <w:rsid w:val="007C1BA1"/>
    <w:rsid w:val="007C2942"/>
    <w:rsid w:val="007D16EE"/>
    <w:rsid w:val="007D50D8"/>
    <w:rsid w:val="007D672D"/>
    <w:rsid w:val="007E216C"/>
    <w:rsid w:val="007E35C9"/>
    <w:rsid w:val="00806978"/>
    <w:rsid w:val="00813E09"/>
    <w:rsid w:val="00820A3F"/>
    <w:rsid w:val="00851D90"/>
    <w:rsid w:val="00864F82"/>
    <w:rsid w:val="00896594"/>
    <w:rsid w:val="008B313B"/>
    <w:rsid w:val="008C0BDD"/>
    <w:rsid w:val="008E0168"/>
    <w:rsid w:val="008E1ADE"/>
    <w:rsid w:val="008E480D"/>
    <w:rsid w:val="008F15AD"/>
    <w:rsid w:val="008F322B"/>
    <w:rsid w:val="008F553E"/>
    <w:rsid w:val="009074D0"/>
    <w:rsid w:val="00924D0D"/>
    <w:rsid w:val="0093349E"/>
    <w:rsid w:val="009419E1"/>
    <w:rsid w:val="009623FC"/>
    <w:rsid w:val="00963AA9"/>
    <w:rsid w:val="00972733"/>
    <w:rsid w:val="009742A4"/>
    <w:rsid w:val="00994978"/>
    <w:rsid w:val="009A7CEA"/>
    <w:rsid w:val="009A7DD0"/>
    <w:rsid w:val="009E55B2"/>
    <w:rsid w:val="009E6562"/>
    <w:rsid w:val="009E65FA"/>
    <w:rsid w:val="009F6C9B"/>
    <w:rsid w:val="009F75F4"/>
    <w:rsid w:val="00A047E4"/>
    <w:rsid w:val="00A47A80"/>
    <w:rsid w:val="00A66C2C"/>
    <w:rsid w:val="00A76245"/>
    <w:rsid w:val="00A82AE4"/>
    <w:rsid w:val="00A93AFE"/>
    <w:rsid w:val="00AA50F2"/>
    <w:rsid w:val="00AB2103"/>
    <w:rsid w:val="00AC1EE7"/>
    <w:rsid w:val="00AC31C2"/>
    <w:rsid w:val="00B030FB"/>
    <w:rsid w:val="00B347E9"/>
    <w:rsid w:val="00B40CF4"/>
    <w:rsid w:val="00B412E4"/>
    <w:rsid w:val="00B43602"/>
    <w:rsid w:val="00B61BC0"/>
    <w:rsid w:val="00B74E22"/>
    <w:rsid w:val="00B83020"/>
    <w:rsid w:val="00B9111E"/>
    <w:rsid w:val="00BB4708"/>
    <w:rsid w:val="00BC1FC6"/>
    <w:rsid w:val="00BE3328"/>
    <w:rsid w:val="00C035D4"/>
    <w:rsid w:val="00C330D3"/>
    <w:rsid w:val="00C401C4"/>
    <w:rsid w:val="00C43A16"/>
    <w:rsid w:val="00C47430"/>
    <w:rsid w:val="00C555E7"/>
    <w:rsid w:val="00C57C1A"/>
    <w:rsid w:val="00C6137C"/>
    <w:rsid w:val="00C63371"/>
    <w:rsid w:val="00C64568"/>
    <w:rsid w:val="00C65BD8"/>
    <w:rsid w:val="00C8584C"/>
    <w:rsid w:val="00C95A40"/>
    <w:rsid w:val="00CA6838"/>
    <w:rsid w:val="00CB3571"/>
    <w:rsid w:val="00CD4BC6"/>
    <w:rsid w:val="00CF0ED7"/>
    <w:rsid w:val="00CF1007"/>
    <w:rsid w:val="00D07BC5"/>
    <w:rsid w:val="00D22975"/>
    <w:rsid w:val="00D359D3"/>
    <w:rsid w:val="00D46D8A"/>
    <w:rsid w:val="00D61159"/>
    <w:rsid w:val="00D76349"/>
    <w:rsid w:val="00D80A14"/>
    <w:rsid w:val="00D90FE2"/>
    <w:rsid w:val="00D95E0C"/>
    <w:rsid w:val="00DA1EDD"/>
    <w:rsid w:val="00DB01E3"/>
    <w:rsid w:val="00DB314B"/>
    <w:rsid w:val="00DD02AC"/>
    <w:rsid w:val="00DD272A"/>
    <w:rsid w:val="00DD7F02"/>
    <w:rsid w:val="00DF5EBD"/>
    <w:rsid w:val="00DF6B48"/>
    <w:rsid w:val="00E06BCD"/>
    <w:rsid w:val="00E33E22"/>
    <w:rsid w:val="00E37B0B"/>
    <w:rsid w:val="00E4275D"/>
    <w:rsid w:val="00E83E0E"/>
    <w:rsid w:val="00E84D35"/>
    <w:rsid w:val="00EA7839"/>
    <w:rsid w:val="00EC0C74"/>
    <w:rsid w:val="00EC3480"/>
    <w:rsid w:val="00EC6175"/>
    <w:rsid w:val="00EF4F85"/>
    <w:rsid w:val="00F1701E"/>
    <w:rsid w:val="00F434D3"/>
    <w:rsid w:val="00F460D2"/>
    <w:rsid w:val="00F47234"/>
    <w:rsid w:val="00F503F2"/>
    <w:rsid w:val="00F505B5"/>
    <w:rsid w:val="00F61925"/>
    <w:rsid w:val="00F65853"/>
    <w:rsid w:val="00F66518"/>
    <w:rsid w:val="00F83D8E"/>
    <w:rsid w:val="00F938F1"/>
    <w:rsid w:val="00F93E64"/>
    <w:rsid w:val="00F96BCE"/>
    <w:rsid w:val="00F97CC8"/>
    <w:rsid w:val="00FA513D"/>
    <w:rsid w:val="00FA53C4"/>
    <w:rsid w:val="00FB2B88"/>
    <w:rsid w:val="00FB2F03"/>
    <w:rsid w:val="00FB37F3"/>
    <w:rsid w:val="00FC0045"/>
    <w:rsid w:val="00FC1F8A"/>
    <w:rsid w:val="00FC67D1"/>
    <w:rsid w:val="00FC7EF8"/>
    <w:rsid w:val="4CDF305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7BC5"/>
    <w:pPr>
      <w:spacing w:after="0" w:line="240" w:lineRule="auto"/>
      <w:jc w:val="both"/>
    </w:pPr>
    <w:rPr>
      <w:rFonts w:ascii="Segoe UI" w:eastAsia="Times New Roman" w:hAnsi="Segoe UI"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aliases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FB2B88"/>
    <w:pPr>
      <w:spacing w:after="0" w:line="240" w:lineRule="auto"/>
    </w:pPr>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272CD77C2770147976A48A8A24A78D3" ma:contentTypeVersion="4" ma:contentTypeDescription="Vytvoří nový dokument" ma:contentTypeScope="" ma:versionID="0cd7591ae530d84bd6e52a3de0eedd0e">
  <xsd:schema xmlns:xsd="http://www.w3.org/2001/XMLSchema" xmlns:xs="http://www.w3.org/2001/XMLSchema" xmlns:p="http://schemas.microsoft.com/office/2006/metadata/properties" xmlns:ns2="de68dac2-7df4-4dc8-91af-e657417e878e" targetNamespace="http://schemas.microsoft.com/office/2006/metadata/properties" ma:root="true" ma:fieldsID="23e0d6862210b10a719cda1bf1957b80" ns2:_="">
    <xsd:import namespace="de68dac2-7df4-4dc8-91af-e657417e87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8dac2-7df4-4dc8-91af-e657417e8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E794E-3F71-4542-9640-CD0651DFD8CC}">
  <ds:schemaRefs>
    <ds:schemaRef ds:uri="http://schemas.openxmlformats.org/officeDocument/2006/bibliography"/>
  </ds:schemaRefs>
</ds:datastoreItem>
</file>

<file path=customXml/itemProps2.xml><?xml version="1.0" encoding="utf-8"?>
<ds:datastoreItem xmlns:ds="http://schemas.openxmlformats.org/officeDocument/2006/customXml" ds:itemID="{C8B073AE-9092-4B20-9F92-8B6B6636D7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4E2537-97BC-4638-9A14-83F8D3444669}">
  <ds:schemaRefs>
    <ds:schemaRef ds:uri="http://schemas.microsoft.com/sharepoint/v3/contenttype/forms"/>
  </ds:schemaRefs>
</ds:datastoreItem>
</file>

<file path=customXml/itemProps4.xml><?xml version="1.0" encoding="utf-8"?>
<ds:datastoreItem xmlns:ds="http://schemas.openxmlformats.org/officeDocument/2006/customXml" ds:itemID="{524971B9-006D-4ED8-86F1-4E927A4B9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8dac2-7df4-4dc8-91af-e657417e8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1151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Lelitovská</dc:creator>
  <cp:lastModifiedBy>Martin Kusák</cp:lastModifiedBy>
  <cp:revision>3</cp:revision>
  <dcterms:created xsi:type="dcterms:W3CDTF">2026-01-16T15:30:00Z</dcterms:created>
  <dcterms:modified xsi:type="dcterms:W3CDTF">2026-01-20T17:16:00Z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0x0101005272CD77C2770147976A48A8A24A78D3</vt:lpwstr>
  </property>
  <property fmtid="{D5CDD505-2E9C-101B-9397-08002B2CF9AE}" pid="3" name="MSIP_Label_9cdfe1c1-b1b6-43c7-bd25-dc909155e0b9_Enabled">
    <vt:lpwstr>true</vt:lpwstr>
  </property>
  <property fmtid="{D5CDD505-2E9C-101B-9397-08002B2CF9AE}" pid="4" name="MSIP_Label_9cdfe1c1-b1b6-43c7-bd25-dc909155e0b9_SetDate">
    <vt:lpwstr>2025-03-13T07:13:44Z</vt:lpwstr>
  </property>
  <property fmtid="{D5CDD505-2E9C-101B-9397-08002B2CF9AE}" pid="5" name="MSIP_Label_9cdfe1c1-b1b6-43c7-bd25-dc909155e0b9_Method">
    <vt:lpwstr>Standard</vt:lpwstr>
  </property>
  <property fmtid="{D5CDD505-2E9C-101B-9397-08002B2CF9AE}" pid="6" name="MSIP_Label_9cdfe1c1-b1b6-43c7-bd25-dc909155e0b9_Name">
    <vt:lpwstr>Interní informace</vt:lpwstr>
  </property>
  <property fmtid="{D5CDD505-2E9C-101B-9397-08002B2CF9AE}" pid="7" name="MSIP_Label_9cdfe1c1-b1b6-43c7-bd25-dc909155e0b9_SiteId">
    <vt:lpwstr>4d1a3907-6ad7-4739-80b5-b7ed4066a30b</vt:lpwstr>
  </property>
  <property fmtid="{D5CDD505-2E9C-101B-9397-08002B2CF9AE}" pid="8" name="MSIP_Label_9cdfe1c1-b1b6-43c7-bd25-dc909155e0b9_ActionId">
    <vt:lpwstr>a884a9fb-e211-4a62-bbdb-cd158ac58764</vt:lpwstr>
  </property>
  <property fmtid="{D5CDD505-2E9C-101B-9397-08002B2CF9AE}" pid="9" name="MSIP_Label_9cdfe1c1-b1b6-43c7-bd25-dc909155e0b9_ContentBits">
    <vt:lpwstr>0</vt:lpwstr>
  </property>
  <property fmtid="{D5CDD505-2E9C-101B-9397-08002B2CF9AE}" pid="10" name="MSIP_Label_9cdfe1c1-b1b6-43c7-bd25-dc909155e0b9_Tag">
    <vt:lpwstr>10, 3, 0, 2</vt:lpwstr>
  </property>
</Properties>
</file>