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A52D7B" w:rsidRPr="0066276B" w14:paraId="0683E18D" w14:textId="77777777" w:rsidTr="00732686">
        <w:tc>
          <w:tcPr>
            <w:tcW w:w="9060" w:type="dxa"/>
            <w:gridSpan w:val="2"/>
            <w:shd w:val="clear" w:color="auto" w:fill="D9D9D9"/>
          </w:tcPr>
          <w:p w14:paraId="4AC51A04" w14:textId="28F2B1F8" w:rsidR="00A52D7B" w:rsidRPr="00A52D7B" w:rsidRDefault="00A52D7B" w:rsidP="00A52D7B">
            <w:pPr>
              <w:spacing w:before="120" w:after="120"/>
              <w:jc w:val="center"/>
              <w:rPr>
                <w:rFonts w:cs="Segoe UI"/>
                <w:b/>
                <w:szCs w:val="24"/>
              </w:rPr>
            </w:pPr>
            <w:r w:rsidRPr="00A52D7B">
              <w:rPr>
                <w:rFonts w:cs="Segoe UI"/>
                <w:b/>
                <w:szCs w:val="24"/>
              </w:rPr>
              <w:t>ČESTNÉ PROHLÁŠENÍ K MEZINÁRODNÍM SANKCÍM – DODAVATEL</w:t>
            </w:r>
          </w:p>
        </w:tc>
      </w:tr>
      <w:tr w:rsidR="00A52D7B" w:rsidRPr="00E37B0B" w14:paraId="5DCCA3ED" w14:textId="77777777" w:rsidTr="00732686">
        <w:tc>
          <w:tcPr>
            <w:tcW w:w="2547" w:type="dxa"/>
            <w:shd w:val="clear" w:color="auto" w:fill="D9D9D9"/>
          </w:tcPr>
          <w:p w14:paraId="0C708663" w14:textId="77777777" w:rsidR="00A52D7B" w:rsidRPr="00E37B0B" w:rsidRDefault="00A52D7B" w:rsidP="00A52D7B">
            <w:pPr>
              <w:widowControl w:val="0"/>
              <w:spacing w:before="120" w:after="120"/>
              <w:jc w:val="left"/>
              <w:rPr>
                <w:rFonts w:cs="Segoe UI"/>
                <w:b/>
                <w:szCs w:val="22"/>
              </w:rPr>
            </w:pPr>
            <w:r w:rsidRPr="00B54738">
              <w:rPr>
                <w:rFonts w:cs="Segoe UI"/>
                <w:b/>
                <w:iCs/>
              </w:rPr>
              <w:t>Název veřejné zakázky</w:t>
            </w:r>
          </w:p>
        </w:tc>
        <w:tc>
          <w:tcPr>
            <w:tcW w:w="6513" w:type="dxa"/>
            <w:shd w:val="clear" w:color="auto" w:fill="FFFFFF" w:themeFill="background1"/>
          </w:tcPr>
          <w:p w14:paraId="53E0453A" w14:textId="6FC6E434" w:rsidR="00A52D7B" w:rsidRPr="00E37B0B" w:rsidRDefault="006916F9" w:rsidP="004358A6">
            <w:pPr>
              <w:widowControl w:val="0"/>
              <w:spacing w:before="120" w:after="120"/>
              <w:jc w:val="left"/>
              <w:rPr>
                <w:rFonts w:cs="Segoe UI"/>
                <w:b/>
                <w:szCs w:val="22"/>
              </w:rPr>
            </w:pPr>
            <w:r w:rsidRPr="006916F9">
              <w:rPr>
                <w:rFonts w:cs="Segoe UI"/>
                <w:b/>
                <w:bCs/>
                <w:szCs w:val="22"/>
              </w:rPr>
              <w:t>Rekonstrukce kanalizace a obnova vodovodních řadů, ul. Albertov a okolí, Praha 2, II. etapa</w:t>
            </w:r>
          </w:p>
        </w:tc>
      </w:tr>
      <w:tr w:rsidR="00A52D7B" w:rsidRPr="005125B4" w14:paraId="01DB3E1F" w14:textId="77777777" w:rsidTr="00732686">
        <w:tc>
          <w:tcPr>
            <w:tcW w:w="9060" w:type="dxa"/>
            <w:gridSpan w:val="2"/>
            <w:shd w:val="clear" w:color="auto" w:fill="D9D9D9"/>
          </w:tcPr>
          <w:p w14:paraId="0EB99D7B" w14:textId="77777777" w:rsidR="00A52D7B" w:rsidRPr="005125B4" w:rsidRDefault="00A52D7B" w:rsidP="00A52D7B">
            <w:pPr>
              <w:widowControl w:val="0"/>
              <w:spacing w:before="120" w:after="120"/>
              <w:jc w:val="center"/>
              <w:rPr>
                <w:rFonts w:cs="Segoe UI"/>
                <w:szCs w:val="22"/>
                <w:highlight w:val="yellow"/>
              </w:rPr>
            </w:pPr>
            <w:r w:rsidRPr="00E37B0B">
              <w:rPr>
                <w:rFonts w:cs="Segoe UI"/>
                <w:b/>
                <w:szCs w:val="22"/>
              </w:rPr>
              <w:t>Dodavatel</w:t>
            </w:r>
          </w:p>
        </w:tc>
      </w:tr>
      <w:tr w:rsidR="00A52D7B" w:rsidRPr="00F434D3" w14:paraId="5A6375B4" w14:textId="77777777" w:rsidTr="00732686">
        <w:tc>
          <w:tcPr>
            <w:tcW w:w="2547" w:type="dxa"/>
            <w:shd w:val="clear" w:color="auto" w:fill="D9D9D9"/>
          </w:tcPr>
          <w:p w14:paraId="52EAD4D9" w14:textId="77777777" w:rsidR="00A52D7B" w:rsidRPr="00E37B0B" w:rsidRDefault="00A52D7B" w:rsidP="00A52D7B">
            <w:pPr>
              <w:widowControl w:val="0"/>
              <w:spacing w:before="120" w:after="120"/>
              <w:rPr>
                <w:rFonts w:cs="Segoe UI"/>
                <w:b/>
                <w:szCs w:val="22"/>
              </w:rPr>
            </w:pPr>
            <w:r w:rsidRPr="00E37B0B">
              <w:rPr>
                <w:rFonts w:cs="Segoe UI"/>
                <w:b/>
                <w:szCs w:val="22"/>
              </w:rPr>
              <w:t>Obchodní firma</w:t>
            </w:r>
          </w:p>
        </w:tc>
        <w:tc>
          <w:tcPr>
            <w:tcW w:w="6513" w:type="dxa"/>
          </w:tcPr>
          <w:p w14:paraId="15F45B69" w14:textId="77777777" w:rsidR="00A52D7B" w:rsidRPr="00F434D3" w:rsidRDefault="00A52D7B" w:rsidP="00A52D7B">
            <w:pPr>
              <w:widowControl w:val="0"/>
              <w:spacing w:before="120" w:after="120"/>
              <w:rPr>
                <w:rFonts w:cs="Segoe UI"/>
                <w:i/>
                <w:iCs/>
                <w:szCs w:val="22"/>
              </w:rPr>
            </w:pPr>
            <w:r w:rsidRPr="005125B4">
              <w:rPr>
                <w:rFonts w:cs="Segoe UI"/>
                <w:szCs w:val="22"/>
                <w:highlight w:val="yellow"/>
              </w:rPr>
              <w:t>[DOPLNÍ ÚČASTNÍK]</w:t>
            </w:r>
          </w:p>
        </w:tc>
      </w:tr>
      <w:tr w:rsidR="00A52D7B" w:rsidRPr="00E37B0B" w14:paraId="1D9EA494" w14:textId="77777777" w:rsidTr="00732686">
        <w:tc>
          <w:tcPr>
            <w:tcW w:w="2547" w:type="dxa"/>
            <w:shd w:val="clear" w:color="auto" w:fill="D9D9D9"/>
          </w:tcPr>
          <w:p w14:paraId="34A75AD3" w14:textId="77777777" w:rsidR="00A52D7B" w:rsidRPr="00E37B0B" w:rsidRDefault="00A52D7B" w:rsidP="00A52D7B">
            <w:pPr>
              <w:widowControl w:val="0"/>
              <w:spacing w:before="120" w:after="120"/>
              <w:rPr>
                <w:rFonts w:cs="Segoe UI"/>
                <w:b/>
                <w:szCs w:val="22"/>
              </w:rPr>
            </w:pPr>
            <w:r w:rsidRPr="00E37B0B">
              <w:rPr>
                <w:rFonts w:cs="Segoe UI"/>
                <w:b/>
                <w:szCs w:val="22"/>
              </w:rPr>
              <w:t>Sídlo</w:t>
            </w:r>
          </w:p>
        </w:tc>
        <w:tc>
          <w:tcPr>
            <w:tcW w:w="6513" w:type="dxa"/>
          </w:tcPr>
          <w:p w14:paraId="135421BA" w14:textId="77777777" w:rsidR="00A52D7B" w:rsidRPr="00E37B0B" w:rsidRDefault="00A52D7B" w:rsidP="00A52D7B">
            <w:pPr>
              <w:widowControl w:val="0"/>
              <w:spacing w:before="120" w:after="120"/>
              <w:rPr>
                <w:rFonts w:cs="Segoe UI"/>
                <w:szCs w:val="22"/>
              </w:rPr>
            </w:pPr>
            <w:r w:rsidRPr="005125B4">
              <w:rPr>
                <w:rFonts w:cs="Segoe UI"/>
                <w:szCs w:val="22"/>
                <w:highlight w:val="yellow"/>
              </w:rPr>
              <w:t>[DOPLNÍ ÚČASTNÍK]</w:t>
            </w:r>
          </w:p>
        </w:tc>
      </w:tr>
      <w:tr w:rsidR="00A52D7B" w:rsidRPr="00E37B0B" w14:paraId="1C614365" w14:textId="77777777" w:rsidTr="00732686">
        <w:tc>
          <w:tcPr>
            <w:tcW w:w="2547" w:type="dxa"/>
            <w:shd w:val="clear" w:color="auto" w:fill="D9D9D9"/>
          </w:tcPr>
          <w:p w14:paraId="6A1C8A98" w14:textId="77777777" w:rsidR="00A52D7B" w:rsidRPr="00E37B0B" w:rsidRDefault="00A52D7B" w:rsidP="00A52D7B">
            <w:pPr>
              <w:widowControl w:val="0"/>
              <w:spacing w:before="120" w:after="120"/>
              <w:rPr>
                <w:rFonts w:cs="Segoe UI"/>
                <w:b/>
                <w:szCs w:val="22"/>
              </w:rPr>
            </w:pPr>
            <w:r w:rsidRPr="00E37B0B">
              <w:rPr>
                <w:rFonts w:cs="Segoe UI"/>
                <w:b/>
                <w:szCs w:val="22"/>
              </w:rPr>
              <w:t>IČO</w:t>
            </w:r>
          </w:p>
        </w:tc>
        <w:tc>
          <w:tcPr>
            <w:tcW w:w="6513" w:type="dxa"/>
          </w:tcPr>
          <w:p w14:paraId="63FDD856" w14:textId="77777777" w:rsidR="00A52D7B" w:rsidRPr="00E37B0B" w:rsidRDefault="00A52D7B" w:rsidP="00A52D7B">
            <w:pPr>
              <w:widowControl w:val="0"/>
              <w:spacing w:before="120" w:after="120"/>
              <w:rPr>
                <w:rFonts w:cs="Segoe UI"/>
                <w:szCs w:val="22"/>
              </w:rPr>
            </w:pPr>
            <w:r w:rsidRPr="005125B4">
              <w:rPr>
                <w:rFonts w:cs="Segoe UI"/>
                <w:szCs w:val="22"/>
                <w:highlight w:val="yellow"/>
              </w:rPr>
              <w:t>[DOPLNÍ ÚČASTNÍK]</w:t>
            </w:r>
          </w:p>
        </w:tc>
      </w:tr>
    </w:tbl>
    <w:p w14:paraId="724E9B61" w14:textId="4C72A79F" w:rsidR="00A25BEA" w:rsidRPr="00E37B0B" w:rsidRDefault="00A25BEA" w:rsidP="00A25BEA">
      <w:pPr>
        <w:widowControl w:val="0"/>
        <w:spacing w:before="120" w:line="276" w:lineRule="auto"/>
        <w:rPr>
          <w:rFonts w:cs="Segoe UI"/>
          <w:bCs/>
          <w:szCs w:val="22"/>
        </w:rPr>
      </w:pPr>
      <w:bookmarkStart w:id="0" w:name="_Hlk211881107"/>
      <w:r w:rsidRPr="00E37B0B">
        <w:rPr>
          <w:rFonts w:cs="Segoe UI"/>
          <w:bCs/>
          <w:szCs w:val="22"/>
        </w:rPr>
        <w:t>(dále jen „</w:t>
      </w:r>
      <w:r w:rsidRPr="00E37B0B">
        <w:rPr>
          <w:rFonts w:cs="Segoe UI"/>
          <w:bCs/>
          <w:i/>
          <w:szCs w:val="22"/>
        </w:rPr>
        <w:t>dodavatel</w:t>
      </w:r>
      <w:r w:rsidRPr="00E37B0B">
        <w:rPr>
          <w:rFonts w:cs="Segoe UI"/>
          <w:bCs/>
          <w:szCs w:val="22"/>
        </w:rPr>
        <w:t>“),</w:t>
      </w:r>
    </w:p>
    <w:bookmarkEnd w:id="0"/>
    <w:p w14:paraId="6BEDA4EE" w14:textId="38C0E919" w:rsidR="00C6137C" w:rsidRPr="009F75F4" w:rsidRDefault="00A52D7B" w:rsidP="009F75F4">
      <w:pPr>
        <w:widowControl w:val="0"/>
        <w:spacing w:before="120" w:after="120" w:line="276" w:lineRule="auto"/>
        <w:rPr>
          <w:rFonts w:cs="Segoe UI"/>
          <w:bCs/>
          <w:szCs w:val="22"/>
        </w:rPr>
      </w:pPr>
      <w:r w:rsidRPr="00A52D7B">
        <w:rPr>
          <w:rFonts w:cs="Segoe UI"/>
          <w:bCs/>
          <w:szCs w:val="22"/>
        </w:rPr>
        <w:t>tímto ve věci výše uvedené veřejné zakázky prohlašuje, že</w:t>
      </w:r>
      <w:r>
        <w:rPr>
          <w:rFonts w:cs="Segoe UI"/>
          <w:bCs/>
          <w:szCs w:val="22"/>
        </w:rPr>
        <w:t>:</w:t>
      </w:r>
    </w:p>
    <w:p w14:paraId="0195F5F3" w14:textId="0566D501" w:rsidR="00667F35" w:rsidRPr="00667F35" w:rsidRDefault="00667F35" w:rsidP="00667F35">
      <w:pPr>
        <w:pStyle w:val="Odstavecseseznamem"/>
        <w:widowControl w:val="0"/>
        <w:numPr>
          <w:ilvl w:val="0"/>
          <w:numId w:val="12"/>
        </w:numPr>
        <w:spacing w:before="120" w:after="120" w:line="276" w:lineRule="auto"/>
        <w:contextualSpacing w:val="0"/>
        <w:rPr>
          <w:rFonts w:ascii="Segoe UI" w:eastAsia="Calibri" w:hAnsi="Segoe UI" w:cs="Segoe UI"/>
          <w:bCs/>
          <w:sz w:val="22"/>
        </w:rPr>
      </w:pPr>
      <w:r w:rsidRPr="00667F35">
        <w:rPr>
          <w:rFonts w:ascii="Segoe UI" w:eastAsia="Calibri" w:hAnsi="Segoe UI" w:cs="Segoe UI"/>
          <w:bCs/>
          <w:sz w:val="22"/>
        </w:rPr>
        <w:t>on ani jeho poddodavatelé nejsou osobami, na které</w:t>
      </w:r>
      <w:r w:rsidRPr="00667F35">
        <w:rPr>
          <w:rFonts w:ascii="Segoe UI" w:hAnsi="Segoe UI" w:cs="Segoe UI"/>
          <w:sz w:val="22"/>
        </w:rPr>
        <w:t xml:space="preserve"> </w:t>
      </w:r>
      <w:r w:rsidRPr="00667F35">
        <w:rPr>
          <w:rFonts w:ascii="Segoe UI" w:eastAsia="Calibri" w:hAnsi="Segoe UI" w:cs="Segoe UI"/>
          <w:bCs/>
          <w:sz w:val="22"/>
        </w:rPr>
        <w:t xml:space="preserve">dopadají mezinárodní sankce podle zákona č. 69/2006 Sb., o provádění mezinárodních sankcí, ve znění pozdějších předpisů, na </w:t>
      </w:r>
      <w:proofErr w:type="gramStart"/>
      <w:r w:rsidRPr="00667F35">
        <w:rPr>
          <w:rFonts w:ascii="Segoe UI" w:eastAsia="Calibri" w:hAnsi="Segoe UI" w:cs="Segoe UI"/>
          <w:bCs/>
          <w:sz w:val="22"/>
        </w:rPr>
        <w:t>základě</w:t>
      </w:r>
      <w:proofErr w:type="gramEnd"/>
      <w:r w:rsidRPr="00667F35">
        <w:rPr>
          <w:rFonts w:ascii="Segoe UI" w:eastAsia="Calibri" w:hAnsi="Segoe UI" w:cs="Segoe UI"/>
          <w:bCs/>
          <w:sz w:val="22"/>
        </w:rPr>
        <w:t xml:space="preserve"> kterých zadavatel nesmí zadat veřejnou zakázku účastníku zadávacího řízení dle § 48a zákona č. 134/2016 Sb., o zadávání veřejných zakázek, ve</w:t>
      </w:r>
      <w:r w:rsidR="0071540A">
        <w:rPr>
          <w:rFonts w:ascii="Segoe UI" w:eastAsia="Calibri" w:hAnsi="Segoe UI" w:cs="Segoe UI"/>
          <w:bCs/>
          <w:sz w:val="22"/>
        </w:rPr>
        <w:t> </w:t>
      </w:r>
      <w:r w:rsidRPr="00667F35">
        <w:rPr>
          <w:rFonts w:ascii="Segoe UI" w:eastAsia="Calibri" w:hAnsi="Segoe UI" w:cs="Segoe UI"/>
          <w:bCs/>
          <w:sz w:val="22"/>
        </w:rPr>
        <w:t>znění pozdějších předpisů;</w:t>
      </w:r>
    </w:p>
    <w:p w14:paraId="710913E3" w14:textId="56B7EAB4" w:rsidR="00667F35" w:rsidRPr="009621D7" w:rsidRDefault="00667F35" w:rsidP="00667F35">
      <w:pPr>
        <w:pStyle w:val="Odstavecseseznamem"/>
        <w:widowControl w:val="0"/>
        <w:numPr>
          <w:ilvl w:val="0"/>
          <w:numId w:val="12"/>
        </w:numPr>
        <w:spacing w:before="120" w:after="120" w:line="276" w:lineRule="auto"/>
        <w:contextualSpacing w:val="0"/>
        <w:rPr>
          <w:rFonts w:ascii="Segoe UI" w:eastAsia="Times New Roman" w:hAnsi="Segoe UI" w:cs="Segoe UI"/>
          <w:bCs/>
          <w:sz w:val="22"/>
        </w:rPr>
      </w:pPr>
      <w:r w:rsidRPr="00667F35">
        <w:rPr>
          <w:rFonts w:ascii="Segoe UI" w:eastAsia="Calibri" w:hAnsi="Segoe UI" w:cs="Segoe UI"/>
          <w:bCs/>
          <w:sz w:val="22"/>
        </w:rPr>
        <w:t>on ani jeho poddodavatelé nejsou osobami, na které</w:t>
      </w:r>
      <w:r w:rsidRPr="00667F35">
        <w:rPr>
          <w:rFonts w:ascii="Segoe UI" w:hAnsi="Segoe UI" w:cs="Segoe UI"/>
          <w:sz w:val="22"/>
        </w:rPr>
        <w:t xml:space="preserve"> </w:t>
      </w:r>
      <w:r w:rsidRPr="00667F35">
        <w:rPr>
          <w:rFonts w:ascii="Segoe UI" w:eastAsia="Calibri" w:hAnsi="Segoe UI" w:cs="Segoe UI"/>
          <w:bCs/>
          <w:sz w:val="22"/>
        </w:rPr>
        <w:t xml:space="preserve">dopadají mezinárodní sankce podle zákona č. 69/2006 Sb., o provádění mezinárodních sankcí, ve znění pozdějších předpisů, na </w:t>
      </w:r>
      <w:proofErr w:type="gramStart"/>
      <w:r w:rsidRPr="00667F35">
        <w:rPr>
          <w:rFonts w:ascii="Segoe UI" w:eastAsia="Calibri" w:hAnsi="Segoe UI" w:cs="Segoe UI"/>
          <w:bCs/>
          <w:sz w:val="22"/>
        </w:rPr>
        <w:t>základě</w:t>
      </w:r>
      <w:proofErr w:type="gramEnd"/>
      <w:r w:rsidRPr="00667F35">
        <w:rPr>
          <w:rFonts w:ascii="Segoe UI" w:eastAsia="Calibri" w:hAnsi="Segoe UI" w:cs="Segoe UI"/>
          <w:bCs/>
          <w:sz w:val="22"/>
        </w:rPr>
        <w:t xml:space="preserve"> kterých </w:t>
      </w:r>
      <w:r w:rsidRPr="009621D7">
        <w:rPr>
          <w:rFonts w:ascii="Segoe UI" w:eastAsia="Calibri" w:hAnsi="Segoe UI" w:cs="Segoe UI"/>
          <w:bCs/>
          <w:sz w:val="22"/>
        </w:rPr>
        <w:t xml:space="preserve">zadavatel nesmí zpřístupnit finanční prostředky </w:t>
      </w:r>
      <w:r w:rsidRPr="009621D7">
        <w:rPr>
          <w:rFonts w:ascii="Segoe UI" w:hAnsi="Segoe UI" w:cs="Segoe UI"/>
          <w:sz w:val="22"/>
        </w:rPr>
        <w:t>za plnění veřejné zakázky</w:t>
      </w:r>
      <w:r w:rsidR="0039477D" w:rsidRPr="009621D7">
        <w:rPr>
          <w:rFonts w:ascii="Segoe UI" w:hAnsi="Segoe UI" w:cs="Segoe UI"/>
          <w:sz w:val="22"/>
        </w:rPr>
        <w:t>.</w:t>
      </w:r>
    </w:p>
    <w:p w14:paraId="011526C2" w14:textId="77777777" w:rsidR="000F7E84" w:rsidRPr="00EC5E93" w:rsidRDefault="000F7E84" w:rsidP="00DA411E">
      <w:pPr>
        <w:widowControl w:val="0"/>
        <w:spacing w:before="600" w:after="120" w:line="276" w:lineRule="auto"/>
        <w:jc w:val="left"/>
        <w:rPr>
          <w:rFonts w:cs="Segoe UI"/>
          <w:szCs w:val="22"/>
        </w:rPr>
      </w:pPr>
      <w:r w:rsidRPr="00EC5E93">
        <w:rPr>
          <w:rFonts w:cs="Segoe UI"/>
          <w:szCs w:val="22"/>
        </w:rPr>
        <w:t xml:space="preserve">V </w:t>
      </w:r>
      <w:r w:rsidRPr="00EC5E93">
        <w:rPr>
          <w:rFonts w:cs="Segoe UI"/>
          <w:szCs w:val="22"/>
          <w:highlight w:val="yellow"/>
        </w:rPr>
        <w:t xml:space="preserve">[DOPLNÍ </w:t>
      </w:r>
      <w:r w:rsidRPr="005125B4">
        <w:rPr>
          <w:rFonts w:cs="Segoe UI"/>
          <w:szCs w:val="22"/>
          <w:highlight w:val="yellow"/>
        </w:rPr>
        <w:t>ÚČASTNÍK</w:t>
      </w:r>
      <w:r w:rsidRPr="00EC5E93">
        <w:rPr>
          <w:rFonts w:cs="Segoe UI"/>
          <w:szCs w:val="22"/>
          <w:highlight w:val="yellow"/>
        </w:rPr>
        <w:t>]</w:t>
      </w:r>
      <w:r w:rsidRPr="00EC5E93">
        <w:rPr>
          <w:rFonts w:cs="Segoe UI"/>
          <w:szCs w:val="22"/>
        </w:rPr>
        <w:t xml:space="preserve"> dne </w:t>
      </w:r>
      <w:r w:rsidRPr="00EC5E93">
        <w:rPr>
          <w:rFonts w:cs="Segoe UI"/>
          <w:szCs w:val="22"/>
          <w:highlight w:val="yellow"/>
        </w:rPr>
        <w:t xml:space="preserve">[DOPLNÍ </w:t>
      </w:r>
      <w:r w:rsidRPr="005125B4">
        <w:rPr>
          <w:rFonts w:cs="Segoe UI"/>
          <w:szCs w:val="22"/>
          <w:highlight w:val="yellow"/>
        </w:rPr>
        <w:t>ÚČASTNÍK</w:t>
      </w:r>
      <w:r w:rsidRPr="00EC5E93">
        <w:rPr>
          <w:rFonts w:cs="Segoe UI"/>
          <w:szCs w:val="22"/>
          <w:highlight w:val="yellow"/>
        </w:rPr>
        <w:t>]</w:t>
      </w:r>
    </w:p>
    <w:p w14:paraId="237C8F3C" w14:textId="77777777" w:rsidR="000F7E84" w:rsidRPr="00EC5E93" w:rsidRDefault="000F7E84" w:rsidP="00DA411E">
      <w:pPr>
        <w:widowControl w:val="0"/>
        <w:spacing w:before="480" w:line="276" w:lineRule="auto"/>
        <w:jc w:val="left"/>
        <w:rPr>
          <w:rFonts w:cs="Segoe UI"/>
          <w:szCs w:val="22"/>
        </w:rPr>
      </w:pPr>
      <w:r w:rsidRPr="00EC5E93">
        <w:rPr>
          <w:rFonts w:cs="Segoe UI"/>
          <w:szCs w:val="22"/>
          <w:highlight w:val="yellow"/>
        </w:rPr>
        <w:t xml:space="preserve">[DOPLNÍ </w:t>
      </w:r>
      <w:r w:rsidRPr="005125B4">
        <w:rPr>
          <w:rFonts w:cs="Segoe UI"/>
          <w:szCs w:val="22"/>
          <w:highlight w:val="yellow"/>
        </w:rPr>
        <w:t>ÚČASTNÍK</w:t>
      </w:r>
      <w:r w:rsidRPr="00EC5E93">
        <w:rPr>
          <w:rFonts w:cs="Segoe UI"/>
          <w:szCs w:val="22"/>
          <w:highlight w:val="yellow"/>
        </w:rPr>
        <w:t>]</w:t>
      </w:r>
      <w:r w:rsidRPr="00EC5E93">
        <w:rPr>
          <w:rFonts w:cs="Segoe UI"/>
          <w:szCs w:val="22"/>
        </w:rPr>
        <w:t xml:space="preserve"> </w:t>
      </w:r>
    </w:p>
    <w:p w14:paraId="7C8FB175" w14:textId="77777777" w:rsidR="000F7E84" w:rsidRPr="00667F35" w:rsidRDefault="000F7E84" w:rsidP="00DA411E">
      <w:pPr>
        <w:jc w:val="left"/>
        <w:rPr>
          <w:rFonts w:cs="Segoe UI"/>
          <w:szCs w:val="22"/>
        </w:rPr>
      </w:pPr>
      <w:r w:rsidRPr="00EC5E93">
        <w:rPr>
          <w:rFonts w:cs="Segoe UI"/>
          <w:szCs w:val="22"/>
        </w:rPr>
        <w:t>[jméno oprávněné osoby / označení funkce]</w:t>
      </w:r>
    </w:p>
    <w:p w14:paraId="2094048F" w14:textId="68CB14C6" w:rsidR="003B72B1" w:rsidRDefault="003B72B1" w:rsidP="00A41E99">
      <w:pPr>
        <w:spacing w:after="200" w:line="276" w:lineRule="auto"/>
        <w:jc w:val="right"/>
        <w:rPr>
          <w:rFonts w:cs="Segoe UI"/>
          <w:b/>
          <w:szCs w:val="24"/>
          <w:u w:val="single"/>
        </w:rPr>
      </w:pPr>
    </w:p>
    <w:sectPr w:rsidR="003B72B1" w:rsidSect="003B72B1">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DDF5F" w14:textId="77777777" w:rsidR="002F2A11" w:rsidRDefault="002F2A11" w:rsidP="00F65853">
      <w:r>
        <w:separator/>
      </w:r>
    </w:p>
  </w:endnote>
  <w:endnote w:type="continuationSeparator" w:id="0">
    <w:p w14:paraId="33BD36C4" w14:textId="77777777" w:rsidR="002F2A11" w:rsidRDefault="002F2A11"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2A6B4" w14:textId="11E3C216" w:rsidR="00230186" w:rsidRPr="0071540A" w:rsidRDefault="00230186" w:rsidP="0071540A">
    <w:pPr>
      <w:pStyle w:val="Zpat"/>
      <w:jc w:val="center"/>
      <w:rPr>
        <w:rFonts w:ascii="Segoe UI" w:hAnsi="Segoe UI" w:cs="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5551" w14:textId="77777777" w:rsidR="002F2A11" w:rsidRDefault="002F2A11" w:rsidP="00F65853">
      <w:r>
        <w:separator/>
      </w:r>
    </w:p>
  </w:footnote>
  <w:footnote w:type="continuationSeparator" w:id="0">
    <w:p w14:paraId="0C4947E1" w14:textId="77777777" w:rsidR="002F2A11" w:rsidRDefault="002F2A11"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4F73" w14:textId="510E2AD8" w:rsidR="00C03DEE" w:rsidRPr="003B72B1" w:rsidRDefault="00C03DEE" w:rsidP="00C03DEE">
    <w:pPr>
      <w:pStyle w:val="Zhlav"/>
      <w:rPr>
        <w:rFonts w:ascii="Segoe UI" w:hAnsi="Segoe UI" w:cs="Segoe UI"/>
        <w:b/>
        <w:bCs/>
      </w:rPr>
    </w:pPr>
    <w:r w:rsidRPr="003B72B1">
      <w:rPr>
        <w:rFonts w:ascii="Segoe UI" w:hAnsi="Segoe UI" w:cs="Segoe UI"/>
        <w:b/>
        <w:bCs/>
      </w:rPr>
      <w:t xml:space="preserve">Příloha zadávací dokumentace č. </w:t>
    </w:r>
    <w:r w:rsidR="004637AB">
      <w:rPr>
        <w:rFonts w:ascii="Segoe UI" w:hAnsi="Segoe UI" w:cs="Segoe UI"/>
        <w:b/>
        <w:bCs/>
      </w:rPr>
      <w:t>9</w:t>
    </w:r>
    <w:r w:rsidRPr="003B72B1">
      <w:rPr>
        <w:rFonts w:ascii="Segoe UI" w:hAnsi="Segoe UI" w:cs="Segoe UI"/>
        <w:b/>
        <w:bCs/>
      </w:rPr>
      <w:t xml:space="preserve"> – Čestné prohlášení k mezinárodním sankcím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85151101">
    <w:abstractNumId w:val="6"/>
  </w:num>
  <w:num w:numId="2" w16cid:durableId="1752695329">
    <w:abstractNumId w:val="4"/>
  </w:num>
  <w:num w:numId="3" w16cid:durableId="2135176957">
    <w:abstractNumId w:val="2"/>
  </w:num>
  <w:num w:numId="4" w16cid:durableId="1857108976">
    <w:abstractNumId w:val="7"/>
  </w:num>
  <w:num w:numId="5" w16cid:durableId="562179258">
    <w:abstractNumId w:val="3"/>
  </w:num>
  <w:num w:numId="6" w16cid:durableId="260987847">
    <w:abstractNumId w:val="8"/>
  </w:num>
  <w:num w:numId="7" w16cid:durableId="788209496">
    <w:abstractNumId w:val="10"/>
  </w:num>
  <w:num w:numId="8" w16cid:durableId="1035352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079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8505055">
    <w:abstractNumId w:val="6"/>
    <w:lvlOverride w:ilvl="0">
      <w:startOverride w:val="1"/>
    </w:lvlOverride>
    <w:lvlOverride w:ilvl="1"/>
    <w:lvlOverride w:ilvl="2"/>
    <w:lvlOverride w:ilvl="3"/>
    <w:lvlOverride w:ilvl="4"/>
    <w:lvlOverride w:ilvl="5"/>
    <w:lvlOverride w:ilvl="6"/>
    <w:lvlOverride w:ilvl="7"/>
    <w:lvlOverride w:ilvl="8"/>
  </w:num>
  <w:num w:numId="11" w16cid:durableId="1610041425">
    <w:abstractNumId w:val="6"/>
    <w:lvlOverride w:ilvl="0">
      <w:startOverride w:val="1"/>
    </w:lvlOverride>
    <w:lvlOverride w:ilvl="1"/>
    <w:lvlOverride w:ilvl="2"/>
    <w:lvlOverride w:ilvl="3"/>
    <w:lvlOverride w:ilvl="4"/>
    <w:lvlOverride w:ilvl="5"/>
    <w:lvlOverride w:ilvl="6"/>
    <w:lvlOverride w:ilvl="7"/>
    <w:lvlOverride w:ilvl="8"/>
  </w:num>
  <w:num w:numId="12" w16cid:durableId="1019624858">
    <w:abstractNumId w:val="5"/>
  </w:num>
  <w:num w:numId="13" w16cid:durableId="1418556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82369"/>
    <w:rsid w:val="00083E55"/>
    <w:rsid w:val="000D0CD0"/>
    <w:rsid w:val="000D7C37"/>
    <w:rsid w:val="000E35B1"/>
    <w:rsid w:val="000F3862"/>
    <w:rsid w:val="000F7E84"/>
    <w:rsid w:val="00103035"/>
    <w:rsid w:val="00113C58"/>
    <w:rsid w:val="00125F30"/>
    <w:rsid w:val="00144AEC"/>
    <w:rsid w:val="0015453C"/>
    <w:rsid w:val="00162BE1"/>
    <w:rsid w:val="00172A1D"/>
    <w:rsid w:val="00175EDC"/>
    <w:rsid w:val="001C17E7"/>
    <w:rsid w:val="001D3E28"/>
    <w:rsid w:val="001E3DEB"/>
    <w:rsid w:val="002010A9"/>
    <w:rsid w:val="00201FD4"/>
    <w:rsid w:val="002031F0"/>
    <w:rsid w:val="0020486D"/>
    <w:rsid w:val="00211565"/>
    <w:rsid w:val="002133CD"/>
    <w:rsid w:val="00220883"/>
    <w:rsid w:val="00230186"/>
    <w:rsid w:val="002510B2"/>
    <w:rsid w:val="00263F9C"/>
    <w:rsid w:val="0029129A"/>
    <w:rsid w:val="002A28C2"/>
    <w:rsid w:val="002B1682"/>
    <w:rsid w:val="002C6B0F"/>
    <w:rsid w:val="002D63CF"/>
    <w:rsid w:val="002E76BA"/>
    <w:rsid w:val="002F2A11"/>
    <w:rsid w:val="002F3903"/>
    <w:rsid w:val="00302227"/>
    <w:rsid w:val="00322D56"/>
    <w:rsid w:val="003244D6"/>
    <w:rsid w:val="0032575A"/>
    <w:rsid w:val="00350342"/>
    <w:rsid w:val="00354305"/>
    <w:rsid w:val="00384182"/>
    <w:rsid w:val="003862F2"/>
    <w:rsid w:val="0039477D"/>
    <w:rsid w:val="003B3B09"/>
    <w:rsid w:val="003B72B1"/>
    <w:rsid w:val="003E29C1"/>
    <w:rsid w:val="003F08D2"/>
    <w:rsid w:val="004132DB"/>
    <w:rsid w:val="004233F4"/>
    <w:rsid w:val="0042465F"/>
    <w:rsid w:val="00425D72"/>
    <w:rsid w:val="00433357"/>
    <w:rsid w:val="004358A6"/>
    <w:rsid w:val="00442E21"/>
    <w:rsid w:val="004637AB"/>
    <w:rsid w:val="0046404E"/>
    <w:rsid w:val="00487786"/>
    <w:rsid w:val="004968A2"/>
    <w:rsid w:val="004C01D1"/>
    <w:rsid w:val="004D1F28"/>
    <w:rsid w:val="004D468E"/>
    <w:rsid w:val="004D6D84"/>
    <w:rsid w:val="0050209E"/>
    <w:rsid w:val="00516483"/>
    <w:rsid w:val="00517087"/>
    <w:rsid w:val="005174CD"/>
    <w:rsid w:val="005224A8"/>
    <w:rsid w:val="0052465D"/>
    <w:rsid w:val="0052557F"/>
    <w:rsid w:val="00564330"/>
    <w:rsid w:val="00575D26"/>
    <w:rsid w:val="00580195"/>
    <w:rsid w:val="00594ED0"/>
    <w:rsid w:val="005B2ECD"/>
    <w:rsid w:val="005C08C4"/>
    <w:rsid w:val="005C50F0"/>
    <w:rsid w:val="005D327A"/>
    <w:rsid w:val="005D4873"/>
    <w:rsid w:val="00611AAC"/>
    <w:rsid w:val="00611AB5"/>
    <w:rsid w:val="006174C6"/>
    <w:rsid w:val="00664FD8"/>
    <w:rsid w:val="00667F35"/>
    <w:rsid w:val="006734A1"/>
    <w:rsid w:val="00676DBA"/>
    <w:rsid w:val="006916F9"/>
    <w:rsid w:val="00697BF2"/>
    <w:rsid w:val="006A0661"/>
    <w:rsid w:val="006A0CC4"/>
    <w:rsid w:val="006B2570"/>
    <w:rsid w:val="006C3F85"/>
    <w:rsid w:val="006C5B41"/>
    <w:rsid w:val="007146E2"/>
    <w:rsid w:val="0071540A"/>
    <w:rsid w:val="0072120A"/>
    <w:rsid w:val="00733B1B"/>
    <w:rsid w:val="00734F5E"/>
    <w:rsid w:val="007379E5"/>
    <w:rsid w:val="00746D95"/>
    <w:rsid w:val="0077645F"/>
    <w:rsid w:val="007938CB"/>
    <w:rsid w:val="007A6460"/>
    <w:rsid w:val="007B21BD"/>
    <w:rsid w:val="007C1BA1"/>
    <w:rsid w:val="007D16EE"/>
    <w:rsid w:val="007D50D8"/>
    <w:rsid w:val="007D672D"/>
    <w:rsid w:val="007E35C9"/>
    <w:rsid w:val="00806978"/>
    <w:rsid w:val="00820A3F"/>
    <w:rsid w:val="00851D90"/>
    <w:rsid w:val="008B313B"/>
    <w:rsid w:val="008C0BDD"/>
    <w:rsid w:val="008D48B2"/>
    <w:rsid w:val="008E0168"/>
    <w:rsid w:val="008E1ADE"/>
    <w:rsid w:val="008F15AD"/>
    <w:rsid w:val="008F322B"/>
    <w:rsid w:val="008F553E"/>
    <w:rsid w:val="009074D0"/>
    <w:rsid w:val="0093349E"/>
    <w:rsid w:val="0094698D"/>
    <w:rsid w:val="009621D7"/>
    <w:rsid w:val="009623FC"/>
    <w:rsid w:val="00963AA9"/>
    <w:rsid w:val="00972733"/>
    <w:rsid w:val="00994978"/>
    <w:rsid w:val="009A7DD0"/>
    <w:rsid w:val="009E55B2"/>
    <w:rsid w:val="009E65FA"/>
    <w:rsid w:val="009F5AD1"/>
    <w:rsid w:val="009F6C9B"/>
    <w:rsid w:val="009F75F4"/>
    <w:rsid w:val="00A047E4"/>
    <w:rsid w:val="00A25BEA"/>
    <w:rsid w:val="00A41E99"/>
    <w:rsid w:val="00A4700C"/>
    <w:rsid w:val="00A52D7B"/>
    <w:rsid w:val="00A66C2C"/>
    <w:rsid w:val="00A773F2"/>
    <w:rsid w:val="00AA50F2"/>
    <w:rsid w:val="00AB2103"/>
    <w:rsid w:val="00AC1EE7"/>
    <w:rsid w:val="00B030FB"/>
    <w:rsid w:val="00B347E9"/>
    <w:rsid w:val="00B61BC0"/>
    <w:rsid w:val="00B74E22"/>
    <w:rsid w:val="00B9111E"/>
    <w:rsid w:val="00C03DEE"/>
    <w:rsid w:val="00C330D3"/>
    <w:rsid w:val="00C43A16"/>
    <w:rsid w:val="00C47430"/>
    <w:rsid w:val="00C57C1A"/>
    <w:rsid w:val="00C6137C"/>
    <w:rsid w:val="00C6428A"/>
    <w:rsid w:val="00C95A40"/>
    <w:rsid w:val="00CC0EAF"/>
    <w:rsid w:val="00CC26F6"/>
    <w:rsid w:val="00CD4BC6"/>
    <w:rsid w:val="00CF0ED7"/>
    <w:rsid w:val="00CF1007"/>
    <w:rsid w:val="00D0064B"/>
    <w:rsid w:val="00D079C9"/>
    <w:rsid w:val="00D22975"/>
    <w:rsid w:val="00D359D3"/>
    <w:rsid w:val="00D46D8A"/>
    <w:rsid w:val="00D76349"/>
    <w:rsid w:val="00D80A14"/>
    <w:rsid w:val="00D90FE2"/>
    <w:rsid w:val="00D95E0C"/>
    <w:rsid w:val="00D9665F"/>
    <w:rsid w:val="00DA411E"/>
    <w:rsid w:val="00DB314B"/>
    <w:rsid w:val="00DD02AC"/>
    <w:rsid w:val="00DF5EBD"/>
    <w:rsid w:val="00DF6B48"/>
    <w:rsid w:val="00E06BCD"/>
    <w:rsid w:val="00E33E22"/>
    <w:rsid w:val="00E37B0B"/>
    <w:rsid w:val="00E4275D"/>
    <w:rsid w:val="00E83E0E"/>
    <w:rsid w:val="00E84D35"/>
    <w:rsid w:val="00EC0C74"/>
    <w:rsid w:val="00EC3480"/>
    <w:rsid w:val="00EC6175"/>
    <w:rsid w:val="00F1701E"/>
    <w:rsid w:val="00F47234"/>
    <w:rsid w:val="00F503F2"/>
    <w:rsid w:val="00F5290E"/>
    <w:rsid w:val="00F61925"/>
    <w:rsid w:val="00F64F3B"/>
    <w:rsid w:val="00F65853"/>
    <w:rsid w:val="00F66518"/>
    <w:rsid w:val="00F66D71"/>
    <w:rsid w:val="00F938F1"/>
    <w:rsid w:val="00F96BCE"/>
    <w:rsid w:val="00F97CC8"/>
    <w:rsid w:val="00FA10C3"/>
    <w:rsid w:val="00FA513D"/>
    <w:rsid w:val="00FA53C4"/>
    <w:rsid w:val="00FB2F03"/>
    <w:rsid w:val="00FC0045"/>
    <w:rsid w:val="00FC1F8A"/>
    <w:rsid w:val="00FC67D1"/>
    <w:rsid w:val="00FE7679"/>
    <w:rsid w:val="2B6E107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83FC5582-53A9-4C15-9869-EA19CCB6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2D7B"/>
    <w:pPr>
      <w:spacing w:after="0" w:line="240" w:lineRule="auto"/>
      <w:jc w:val="both"/>
    </w:pPr>
    <w:rPr>
      <w:rFonts w:ascii="Segoe UI" w:eastAsia="Times New Roman" w:hAnsi="Segoe UI"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aliases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2A28C2"/>
    <w:rPr>
      <w:i/>
      <w:sz w:val="18"/>
    </w:rPr>
  </w:style>
  <w:style w:type="character" w:customStyle="1" w:styleId="TextpoznpodarouChar">
    <w:name w:val="Text pozn. pod čarou Char"/>
    <w:basedOn w:val="Standardnpsmoodstavce"/>
    <w:link w:val="Textpoznpodarou"/>
    <w:uiPriority w:val="99"/>
    <w:rsid w:val="000F7E84"/>
    <w:rPr>
      <w:rFonts w:ascii="Segoe UI" w:eastAsia="Times New Roman" w:hAnsi="Segoe UI" w:cs="Times New Roman"/>
      <w:i/>
      <w:sz w:val="18"/>
      <w:szCs w:val="20"/>
      <w:lang w:eastAsia="cs-CZ"/>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aliases w:val="Bullet Number,Odstavec_muj,A-Odrážky1,Nad,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Bezmezer">
    <w:name w:val="No Spacing"/>
    <w:uiPriority w:val="1"/>
    <w:qFormat/>
    <w:rsid w:val="00611AB5"/>
    <w:pPr>
      <w:spacing w:after="0" w:line="240" w:lineRule="auto"/>
      <w:jc w:val="both"/>
    </w:pPr>
    <w:rPr>
      <w:rFonts w:ascii="Verdana" w:hAnsi="Verdana" w:cs="Times New Roman"/>
      <w:sz w:val="18"/>
    </w:rPr>
  </w:style>
  <w:style w:type="paragraph" w:styleId="Revize">
    <w:name w:val="Revision"/>
    <w:hidden/>
    <w:uiPriority w:val="99"/>
    <w:semiHidden/>
    <w:rsid w:val="00A25BEA"/>
    <w:pPr>
      <w:spacing w:after="0" w:line="240" w:lineRule="auto"/>
    </w:pPr>
    <w:rPr>
      <w:rFonts w:ascii="Garamond" w:eastAsia="Times New Roman" w:hAnsi="Garamond" w:cs="Times New Roman"/>
      <w:sz w:val="24"/>
      <w:szCs w:val="20"/>
      <w:lang w:eastAsia="cs-CZ"/>
    </w:rPr>
  </w:style>
  <w:style w:type="table" w:styleId="Mkatabulky">
    <w:name w:val="Table Grid"/>
    <w:basedOn w:val="Normlntabulka"/>
    <w:uiPriority w:val="39"/>
    <w:rsid w:val="00667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2527">
      <w:bodyDiv w:val="1"/>
      <w:marLeft w:val="0"/>
      <w:marRight w:val="0"/>
      <w:marTop w:val="0"/>
      <w:marBottom w:val="0"/>
      <w:divBdr>
        <w:top w:val="none" w:sz="0" w:space="0" w:color="auto"/>
        <w:left w:val="none" w:sz="0" w:space="0" w:color="auto"/>
        <w:bottom w:val="none" w:sz="0" w:space="0" w:color="auto"/>
        <w:right w:val="none" w:sz="0" w:space="0" w:color="auto"/>
      </w:divBdr>
    </w:div>
    <w:div w:id="239027632">
      <w:bodyDiv w:val="1"/>
      <w:marLeft w:val="0"/>
      <w:marRight w:val="0"/>
      <w:marTop w:val="0"/>
      <w:marBottom w:val="0"/>
      <w:divBdr>
        <w:top w:val="none" w:sz="0" w:space="0" w:color="auto"/>
        <w:left w:val="none" w:sz="0" w:space="0" w:color="auto"/>
        <w:bottom w:val="none" w:sz="0" w:space="0" w:color="auto"/>
        <w:right w:val="none" w:sz="0" w:space="0" w:color="auto"/>
      </w:divBdr>
    </w:div>
    <w:div w:id="266934637">
      <w:bodyDiv w:val="1"/>
      <w:marLeft w:val="0"/>
      <w:marRight w:val="0"/>
      <w:marTop w:val="0"/>
      <w:marBottom w:val="0"/>
      <w:divBdr>
        <w:top w:val="none" w:sz="0" w:space="0" w:color="auto"/>
        <w:left w:val="none" w:sz="0" w:space="0" w:color="auto"/>
        <w:bottom w:val="none" w:sz="0" w:space="0" w:color="auto"/>
        <w:right w:val="none" w:sz="0" w:space="0" w:color="auto"/>
      </w:divBdr>
    </w:div>
    <w:div w:id="678891011">
      <w:bodyDiv w:val="1"/>
      <w:marLeft w:val="0"/>
      <w:marRight w:val="0"/>
      <w:marTop w:val="0"/>
      <w:marBottom w:val="0"/>
      <w:divBdr>
        <w:top w:val="none" w:sz="0" w:space="0" w:color="auto"/>
        <w:left w:val="none" w:sz="0" w:space="0" w:color="auto"/>
        <w:bottom w:val="none" w:sz="0" w:space="0" w:color="auto"/>
        <w:right w:val="none" w:sz="0" w:space="0" w:color="auto"/>
      </w:divBdr>
    </w:div>
    <w:div w:id="697659025">
      <w:bodyDiv w:val="1"/>
      <w:marLeft w:val="0"/>
      <w:marRight w:val="0"/>
      <w:marTop w:val="0"/>
      <w:marBottom w:val="0"/>
      <w:divBdr>
        <w:top w:val="none" w:sz="0" w:space="0" w:color="auto"/>
        <w:left w:val="none" w:sz="0" w:space="0" w:color="auto"/>
        <w:bottom w:val="none" w:sz="0" w:space="0" w:color="auto"/>
        <w:right w:val="none" w:sz="0" w:space="0" w:color="auto"/>
      </w:divBdr>
    </w:div>
    <w:div w:id="744110053">
      <w:bodyDiv w:val="1"/>
      <w:marLeft w:val="0"/>
      <w:marRight w:val="0"/>
      <w:marTop w:val="0"/>
      <w:marBottom w:val="0"/>
      <w:divBdr>
        <w:top w:val="none" w:sz="0" w:space="0" w:color="auto"/>
        <w:left w:val="none" w:sz="0" w:space="0" w:color="auto"/>
        <w:bottom w:val="none" w:sz="0" w:space="0" w:color="auto"/>
        <w:right w:val="none" w:sz="0" w:space="0" w:color="auto"/>
      </w:divBdr>
    </w:div>
    <w:div w:id="1135754007">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 w:id="1754543596">
      <w:bodyDiv w:val="1"/>
      <w:marLeft w:val="0"/>
      <w:marRight w:val="0"/>
      <w:marTop w:val="0"/>
      <w:marBottom w:val="0"/>
      <w:divBdr>
        <w:top w:val="none" w:sz="0" w:space="0" w:color="auto"/>
        <w:left w:val="none" w:sz="0" w:space="0" w:color="auto"/>
        <w:bottom w:val="none" w:sz="0" w:space="0" w:color="auto"/>
        <w:right w:val="none" w:sz="0" w:space="0" w:color="auto"/>
      </w:divBdr>
    </w:div>
    <w:div w:id="1821455403">
      <w:bodyDiv w:val="1"/>
      <w:marLeft w:val="0"/>
      <w:marRight w:val="0"/>
      <w:marTop w:val="0"/>
      <w:marBottom w:val="0"/>
      <w:divBdr>
        <w:top w:val="none" w:sz="0" w:space="0" w:color="auto"/>
        <w:left w:val="none" w:sz="0" w:space="0" w:color="auto"/>
        <w:bottom w:val="none" w:sz="0" w:space="0" w:color="auto"/>
        <w:right w:val="none" w:sz="0" w:space="0" w:color="auto"/>
      </w:divBdr>
    </w:div>
    <w:div w:id="192912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272CD77C2770147976A48A8A24A78D3" ma:contentTypeVersion="4" ma:contentTypeDescription="Vytvoří nový dokument" ma:contentTypeScope="" ma:versionID="0cd7591ae530d84bd6e52a3de0eedd0e">
  <xsd:schema xmlns:xsd="http://www.w3.org/2001/XMLSchema" xmlns:xs="http://www.w3.org/2001/XMLSchema" xmlns:p="http://schemas.microsoft.com/office/2006/metadata/properties" xmlns:ns2="de68dac2-7df4-4dc8-91af-e657417e878e" targetNamespace="http://schemas.microsoft.com/office/2006/metadata/properties" ma:root="true" ma:fieldsID="23e0d6862210b10a719cda1bf1957b80" ns2:_="">
    <xsd:import namespace="de68dac2-7df4-4dc8-91af-e657417e87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8dac2-7df4-4dc8-91af-e657417e8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D44FCE-34AA-40B1-A657-2D8BE941BF72}">
  <ds:schemaRefs>
    <ds:schemaRef ds:uri="http://schemas.microsoft.com/sharepoint/v3/contenttype/forms"/>
  </ds:schemaRefs>
</ds:datastoreItem>
</file>

<file path=customXml/itemProps2.xml><?xml version="1.0" encoding="utf-8"?>
<ds:datastoreItem xmlns:ds="http://schemas.openxmlformats.org/officeDocument/2006/customXml" ds:itemID="{55405BA2-6866-4E2F-A8A3-B83D9B48C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8dac2-7df4-4dc8-91af-e657417e8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A7E78-8797-4755-B9FB-5E07A8F4CF3B}">
  <ds:schemaRefs>
    <ds:schemaRef ds:uri="http://schemas.openxmlformats.org/officeDocument/2006/bibliography"/>
  </ds:schemaRefs>
</ds:datastoreItem>
</file>

<file path=customXml/itemProps4.xml><?xml version="1.0" encoding="utf-8"?>
<ds:datastoreItem xmlns:ds="http://schemas.openxmlformats.org/officeDocument/2006/customXml" ds:itemID="{74C28C93-A89D-49A9-BF2B-48FE9F6E3A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913</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Kosmáková</dc:creator>
  <cp:lastModifiedBy>Martin Kusák</cp:lastModifiedBy>
  <cp:revision>4</cp:revision>
  <cp:lastPrinted>2017-07-04T14:10:00Z</cp:lastPrinted>
  <dcterms:created xsi:type="dcterms:W3CDTF">2026-01-16T15:31:00Z</dcterms:created>
  <dcterms:modified xsi:type="dcterms:W3CDTF">2026-01-20T17:16:00Z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0x0101005272CD77C2770147976A48A8A24A78D3</vt:lpwstr>
  </property>
  <property fmtid="{D5CDD505-2E9C-101B-9397-08002B2CF9AE}" pid="3" name="MSIP_Label_9cdfe1c1-b1b6-43c7-bd25-dc909155e0b9_Enabled">
    <vt:lpwstr>true</vt:lpwstr>
  </property>
  <property fmtid="{D5CDD505-2E9C-101B-9397-08002B2CF9AE}" pid="4" name="MSIP_Label_9cdfe1c1-b1b6-43c7-bd25-dc909155e0b9_SetDate">
    <vt:lpwstr>2025-03-13T07:15:10Z</vt:lpwstr>
  </property>
  <property fmtid="{D5CDD505-2E9C-101B-9397-08002B2CF9AE}" pid="5" name="MSIP_Label_9cdfe1c1-b1b6-43c7-bd25-dc909155e0b9_Method">
    <vt:lpwstr>Standard</vt:lpwstr>
  </property>
  <property fmtid="{D5CDD505-2E9C-101B-9397-08002B2CF9AE}" pid="6" name="MSIP_Label_9cdfe1c1-b1b6-43c7-bd25-dc909155e0b9_Name">
    <vt:lpwstr>Interní informace</vt:lpwstr>
  </property>
  <property fmtid="{D5CDD505-2E9C-101B-9397-08002B2CF9AE}" pid="7" name="MSIP_Label_9cdfe1c1-b1b6-43c7-bd25-dc909155e0b9_SiteId">
    <vt:lpwstr>4d1a3907-6ad7-4739-80b5-b7ed4066a30b</vt:lpwstr>
  </property>
  <property fmtid="{D5CDD505-2E9C-101B-9397-08002B2CF9AE}" pid="8" name="MSIP_Label_9cdfe1c1-b1b6-43c7-bd25-dc909155e0b9_ActionId">
    <vt:lpwstr>4f1aafed-6f7b-4542-bec6-1a0f21e9e65a</vt:lpwstr>
  </property>
  <property fmtid="{D5CDD505-2E9C-101B-9397-08002B2CF9AE}" pid="9" name="MSIP_Label_9cdfe1c1-b1b6-43c7-bd25-dc909155e0b9_ContentBits">
    <vt:lpwstr>0</vt:lpwstr>
  </property>
  <property fmtid="{D5CDD505-2E9C-101B-9397-08002B2CF9AE}" pid="10" name="MSIP_Label_9cdfe1c1-b1b6-43c7-bd25-dc909155e0b9_Tag">
    <vt:lpwstr>10, 3, 0, 2</vt:lpwstr>
  </property>
</Properties>
</file>